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2021年度安徽交运集团汽车销售有限公司10.2</w:t>
      </w:r>
      <w:r>
        <w:rPr>
          <w:rFonts w:hint="eastAsia" w:ascii="方正粗黑宋简体" w:hAnsi="方正粗黑宋简体" w:eastAsia="方正粗黑宋简体" w:cs="宋体"/>
          <w:b/>
          <w:bCs/>
          <w:sz w:val="44"/>
          <w:szCs w:val="44"/>
          <w:lang w:val="en-US" w:eastAsia="zh-CN"/>
        </w:rPr>
        <w:t>9多功能救援</w:t>
      </w:r>
      <w:r>
        <w:rPr>
          <w:rFonts w:hint="eastAsia" w:ascii="方正粗黑宋简体" w:hAnsi="方正粗黑宋简体" w:eastAsia="方正粗黑宋简体" w:cs="宋体"/>
          <w:b/>
          <w:bCs/>
          <w:sz w:val="44"/>
          <w:szCs w:val="44"/>
        </w:rPr>
        <w:t>设备采购项目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10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w:t>
      </w:r>
      <w:r>
        <w:rPr>
          <w:rFonts w:hint="eastAsia" w:ascii="Times New Roman" w:hAnsi="Times New Roman" w:eastAsia="黑体" w:cs="Times New Roman"/>
          <w:sz w:val="32"/>
          <w:szCs w:val="32"/>
          <w:u w:val="single"/>
          <w:lang w:val="en-US" w:eastAsia="zh-CN"/>
        </w:rPr>
        <w:t>9</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525632585"/>
      <w:bookmarkStart w:id="3" w:name="_Toc4489_WPSOffice_Level2"/>
      <w:bookmarkStart w:id="4" w:name="_Toc10395_WPSOffice_Level2"/>
      <w:bookmarkStart w:id="5" w:name="_Toc6496_WPSOffice_Level2"/>
      <w:bookmarkStart w:id="6" w:name="_Toc13871"/>
      <w:bookmarkStart w:id="7" w:name="_Toc24354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left"/>
        <w:rPr>
          <w:rFonts w:ascii="宋体" w:hAnsi="宋体" w:eastAsia="宋体" w:cs="宋体"/>
          <w:b/>
          <w:bCs/>
          <w:sz w:val="44"/>
          <w:szCs w:val="44"/>
        </w:rPr>
      </w:pPr>
      <w:r>
        <w:rPr>
          <w:rFonts w:hint="eastAsia" w:ascii="Times New Roman" w:hAnsi="Times New Roman" w:cs="Times New Roman"/>
          <w:szCs w:val="22"/>
        </w:rPr>
        <w:t xml:space="preserve">   </w:t>
      </w:r>
      <w:r>
        <w:rPr>
          <w:rFonts w:ascii="Times New Roman" w:hAnsi="Times New Roman" w:cs="Times New Roman"/>
          <w:szCs w:val="22"/>
        </w:rPr>
        <w:t>1.1 项目名称：</w:t>
      </w:r>
      <w:r>
        <w:rPr>
          <w:rFonts w:hint="eastAsia" w:ascii="方正粗黑宋简体" w:hAnsi="方正粗黑宋简体" w:eastAsia="方正粗黑宋简体" w:cs="宋体"/>
          <w:b w:val="0"/>
          <w:bCs w:val="0"/>
          <w:sz w:val="21"/>
          <w:szCs w:val="21"/>
          <w:u w:val="single"/>
        </w:rPr>
        <w:t>2021年度安徽交运集团汽车销售有限公司10.2</w:t>
      </w:r>
      <w:r>
        <w:rPr>
          <w:rFonts w:hint="eastAsia" w:ascii="方正粗黑宋简体" w:hAnsi="方正粗黑宋简体" w:eastAsia="方正粗黑宋简体" w:cs="宋体"/>
          <w:b w:val="0"/>
          <w:bCs w:val="0"/>
          <w:sz w:val="21"/>
          <w:szCs w:val="21"/>
          <w:u w:val="single"/>
          <w:lang w:val="en-US" w:eastAsia="zh-CN"/>
        </w:rPr>
        <w:t>9多功能救援</w:t>
      </w:r>
      <w:r>
        <w:rPr>
          <w:rFonts w:hint="eastAsia" w:ascii="方正粗黑宋简体" w:hAnsi="方正粗黑宋简体" w:eastAsia="方正粗黑宋简体" w:cs="宋体"/>
          <w:b w:val="0"/>
          <w:bCs w:val="0"/>
          <w:sz w:val="21"/>
          <w:szCs w:val="21"/>
          <w:u w:val="single"/>
        </w:rPr>
        <w:t>设备采购项目</w:t>
      </w:r>
    </w:p>
    <w:p>
      <w:pPr>
        <w:snapToGrid w:val="0"/>
        <w:spacing w:line="560" w:lineRule="exact"/>
        <w:ind w:firstLine="420" w:firstLineChars="200"/>
        <w:jc w:val="left"/>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napToGrid w:val="0"/>
        <w:spacing w:line="360" w:lineRule="auto"/>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采购多功能</w:t>
      </w:r>
      <w:r>
        <w:rPr>
          <w:rFonts w:hint="eastAsia" w:ascii="Times New Roman" w:hAnsi="Times New Roman" w:cs="Times New Roman"/>
          <w:szCs w:val="22"/>
          <w:u w:val="single"/>
          <w:lang w:eastAsia="zh-CN"/>
        </w:rPr>
        <w:t>救援车一台</w:t>
      </w:r>
      <w:r>
        <w:rPr>
          <w:rFonts w:hint="eastAsia" w:ascii="Times New Roman" w:hAnsi="Times New Roman" w:cs="Times New Roman"/>
          <w:szCs w:val="22"/>
          <w:u w:val="single"/>
          <w:lang w:val="en-US" w:eastAsia="zh-CN"/>
        </w:rPr>
        <w:t>,</w:t>
      </w:r>
      <w:r>
        <w:rPr>
          <w:rFonts w:hint="eastAsia" w:ascii="Times New Roman" w:hAnsi="Times New Roman" w:cs="Times New Roman"/>
          <w:szCs w:val="22"/>
          <w:u w:val="single"/>
        </w:rPr>
        <w:t>适用于高速公路故障车辆、事故车辆的清障救援</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453"/>
      <w:bookmarkStart w:id="10" w:name="_Toc525632586"/>
      <w:bookmarkStart w:id="11" w:name="_Toc23266_WPSOffice_Level2"/>
      <w:bookmarkStart w:id="12" w:name="_Toc17858_WPSOffice_Level2"/>
      <w:bookmarkStart w:id="13" w:name="_Toc8128_WPSOffice_Level2"/>
      <w:bookmarkStart w:id="14" w:name="_Toc18367_WPSOffice_Level2"/>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500" w:lineRule="atLeast"/>
        <w:ind w:firstLine="420" w:firstLineChars="200"/>
        <w:rPr>
          <w:rFonts w:ascii="宋体" w:hAnsi="宋体" w:eastAsia="宋体" w:cs="宋体"/>
          <w:color w:val="333333"/>
          <w:szCs w:val="21"/>
          <w:u w:val="single"/>
        </w:rPr>
      </w:pPr>
      <w:r>
        <w:rPr>
          <w:rFonts w:hint="eastAsia" w:ascii="宋体" w:hAnsi="宋体" w:eastAsia="宋体" w:cs="宋体"/>
          <w:szCs w:val="21"/>
        </w:rPr>
        <w:t xml:space="preserve">1. </w:t>
      </w:r>
      <w:r>
        <w:rPr>
          <w:rFonts w:hint="eastAsia" w:ascii="宋体" w:hAnsi="宋体" w:eastAsia="宋体" w:cs="宋体"/>
          <w:szCs w:val="21"/>
          <w:u w:val="single"/>
        </w:rPr>
        <w:t>采购</w:t>
      </w:r>
      <w:r>
        <w:rPr>
          <w:rFonts w:hint="eastAsia" w:ascii="宋体" w:hAnsi="宋体" w:eastAsia="宋体" w:cs="宋体"/>
          <w:color w:val="333333"/>
          <w:szCs w:val="21"/>
          <w:u w:val="single"/>
        </w:rPr>
        <w:t>多功能</w:t>
      </w:r>
      <w:r>
        <w:rPr>
          <w:rFonts w:hint="eastAsia" w:ascii="宋体" w:hAnsi="宋体" w:eastAsia="宋体" w:cs="宋体"/>
          <w:color w:val="333333"/>
          <w:szCs w:val="21"/>
          <w:u w:val="single"/>
          <w:lang w:eastAsia="zh-CN"/>
        </w:rPr>
        <w:t>救援车一</w:t>
      </w:r>
      <w:r>
        <w:rPr>
          <w:rFonts w:hint="eastAsia" w:ascii="宋体" w:hAnsi="宋体" w:eastAsia="宋体" w:cs="宋体"/>
          <w:color w:val="333333"/>
          <w:szCs w:val="21"/>
          <w:u w:val="single"/>
        </w:rPr>
        <w:t>台</w:t>
      </w:r>
    </w:p>
    <w:p>
      <w:pPr>
        <w:pStyle w:val="6"/>
        <w:spacing w:line="500" w:lineRule="atLeast"/>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1个合同包 </w:t>
      </w:r>
    </w:p>
    <w:p>
      <w:pPr>
        <w:snapToGrid w:val="0"/>
        <w:spacing w:line="560" w:lineRule="exact"/>
        <w:ind w:firstLine="420" w:firstLineChars="200"/>
        <w:rPr>
          <w:rFonts w:ascii="Times New Roman" w:hAnsi="Times New Roman" w:cs="Times New Roman"/>
          <w:szCs w:val="22"/>
          <w:highlight w:val="green"/>
          <w:u w:val="single"/>
        </w:rPr>
      </w:pPr>
      <w:r>
        <w:rPr>
          <w:rFonts w:ascii="Times New Roman" w:hAnsi="Times New Roman" w:cs="Times New Roman"/>
          <w:szCs w:val="22"/>
          <w:highlight w:val="green"/>
        </w:rPr>
        <w:t>2.</w:t>
      </w:r>
      <w:r>
        <w:rPr>
          <w:rFonts w:hint="eastAsia" w:ascii="Times New Roman" w:hAnsi="Times New Roman" w:cs="Times New Roman"/>
          <w:szCs w:val="22"/>
          <w:highlight w:val="green"/>
        </w:rPr>
        <w:t>5</w:t>
      </w:r>
      <w:r>
        <w:rPr>
          <w:rFonts w:ascii="Times New Roman" w:hAnsi="Times New Roman" w:cs="Times New Roman"/>
          <w:szCs w:val="22"/>
          <w:highlight w:val="green"/>
        </w:rPr>
        <w:t xml:space="preserve"> 最高限价：</w:t>
      </w:r>
      <w:bookmarkEnd w:id="18"/>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合同控制价</w:t>
      </w:r>
      <w:r>
        <w:rPr>
          <w:rFonts w:hint="eastAsia" w:ascii="Times New Roman" w:hAnsi="Times New Roman" w:cs="Times New Roman"/>
          <w:szCs w:val="22"/>
          <w:highlight w:val="green"/>
          <w:u w:val="single"/>
          <w:lang w:val="en-US" w:eastAsia="zh-CN"/>
        </w:rPr>
        <w:t>50</w:t>
      </w:r>
      <w:r>
        <w:rPr>
          <w:rFonts w:hint="eastAsia" w:ascii="Times New Roman" w:hAnsi="Times New Roman" w:cs="Times New Roman"/>
          <w:szCs w:val="22"/>
          <w:highlight w:val="green"/>
          <w:u w:val="single"/>
        </w:rPr>
        <w:t xml:space="preserve">万元。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cs="宋体"/>
          <w:szCs w:val="21"/>
          <w:u w:val="single"/>
        </w:rPr>
        <w:t>3</w:t>
      </w:r>
      <w:r>
        <w:rPr>
          <w:rFonts w:hint="eastAsia" w:cs="宋体"/>
          <w:szCs w:val="21"/>
          <w:u w:val="single"/>
        </w:rPr>
        <w:t>0日。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w:t>
      </w:r>
    </w:p>
    <w:p>
      <w:pPr>
        <w:pStyle w:val="34"/>
        <w:spacing w:before="143"/>
        <w:ind w:right="1430"/>
        <w:jc w:val="left"/>
        <w:rPr>
          <w:sz w:val="24"/>
          <w:lang w:val="en-US"/>
        </w:rPr>
      </w:pPr>
      <w:bookmarkStart w:id="19" w:name="_Toc3714"/>
      <w:bookmarkStart w:id="20" w:name="_Toc6388"/>
      <w:bookmarkStart w:id="21" w:name="_Toc31673_WPSOffice_Level2"/>
      <w:bookmarkStart w:id="22" w:name="_Toc29516_WPSOffice_Level2"/>
      <w:bookmarkStart w:id="23" w:name="_Toc22379_WPSOffice_Level2"/>
      <w:bookmarkStart w:id="24" w:name="_Toc525632587"/>
      <w:bookmarkStart w:id="25" w:name="_Toc1622_WPSOffice_Level2"/>
      <w:r>
        <w:rPr>
          <w:rFonts w:hint="eastAsia"/>
          <w:sz w:val="24"/>
          <w:lang w:val="en-US"/>
        </w:rPr>
        <w:t>备注：</w:t>
      </w:r>
    </w:p>
    <w:p>
      <w:pPr>
        <w:pStyle w:val="2"/>
        <w:spacing w:line="560" w:lineRule="exact"/>
        <w:ind w:firstLine="420"/>
        <w:rPr>
          <w:rFonts w:ascii="Times New Roman" w:hAnsi="Times New Roman" w:cs="Times New Roman"/>
          <w:szCs w:val="22"/>
          <w:highlight w:val="green"/>
        </w:rPr>
      </w:pPr>
      <w:r>
        <w:rPr>
          <w:rFonts w:hint="eastAsia"/>
          <w:sz w:val="24"/>
          <w:highlight w:val="green"/>
        </w:rPr>
        <w:t>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r>
        <w:rPr>
          <w:rFonts w:hint="eastAsia"/>
          <w:sz w:val="24"/>
          <w:highlight w:val="green"/>
          <w:lang w:eastAsia="zh-CN"/>
        </w:rPr>
        <w:t>最终合同价等于中标价减去销售差价</w:t>
      </w:r>
      <w:r>
        <w:rPr>
          <w:rFonts w:hint="eastAsia"/>
          <w:sz w:val="24"/>
          <w:highlight w:val="gree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color w:val="auto"/>
          <w:sz w:val="21"/>
          <w:szCs w:val="21"/>
          <w:highlight w:val="green"/>
        </w:rPr>
      </w:pPr>
      <w:r>
        <w:rPr>
          <w:rFonts w:hint="eastAsia" w:asciiTheme="minorEastAsia" w:hAnsiTheme="minorEastAsia" w:cstheme="minorEastAsia"/>
          <w:color w:val="auto"/>
          <w:sz w:val="21"/>
          <w:szCs w:val="21"/>
          <w:highlight w:val="green"/>
          <w:shd w:val="clear" w:color="auto" w:fill="FFFFFF"/>
        </w:rPr>
        <w:t>近3年（2018年1月1日至响应文件递交截止日期为准）有</w:t>
      </w:r>
      <w:r>
        <w:rPr>
          <w:rFonts w:hint="eastAsia" w:asciiTheme="minorEastAsia" w:hAnsiTheme="minorEastAsia" w:cstheme="minorEastAsia"/>
          <w:color w:val="auto"/>
          <w:sz w:val="21"/>
          <w:szCs w:val="21"/>
          <w:highlight w:val="green"/>
          <w:shd w:val="clear" w:color="auto" w:fill="FFFFFF"/>
          <w:lang w:val="en-US" w:eastAsia="zh-CN"/>
        </w:rPr>
        <w:t>6</w:t>
      </w:r>
      <w:r>
        <w:rPr>
          <w:rFonts w:hint="eastAsia" w:asciiTheme="minorEastAsia" w:hAnsiTheme="minorEastAsia" w:cstheme="minorEastAsia"/>
          <w:color w:val="auto"/>
          <w:sz w:val="21"/>
          <w:szCs w:val="21"/>
          <w:highlight w:val="green"/>
          <w:shd w:val="clear" w:color="auto" w:fill="FFFFFF"/>
        </w:rPr>
        <w:t>辆</w:t>
      </w:r>
      <w:r>
        <w:rPr>
          <w:rFonts w:hint="eastAsia" w:asciiTheme="minorEastAsia" w:hAnsiTheme="minorEastAsia" w:cstheme="minorEastAsia"/>
          <w:color w:val="auto"/>
          <w:sz w:val="21"/>
          <w:szCs w:val="21"/>
          <w:highlight w:val="green"/>
          <w:shd w:val="clear" w:color="auto" w:fill="FFFFFF"/>
          <w:lang w:eastAsia="zh-CN"/>
        </w:rPr>
        <w:t>多功能救援车</w:t>
      </w:r>
      <w:r>
        <w:rPr>
          <w:rFonts w:hint="eastAsia" w:asciiTheme="minorEastAsia" w:hAnsiTheme="minorEastAsia" w:cstheme="minorEastAsia"/>
          <w:color w:val="auto"/>
          <w:sz w:val="21"/>
          <w:szCs w:val="21"/>
          <w:highlight w:val="green"/>
          <w:shd w:val="clear" w:color="auto" w:fill="FFFFFF"/>
        </w:rPr>
        <w:t>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29452_WPSOffice_Level2"/>
      <w:bookmarkStart w:id="28" w:name="_Toc4109_WPSOffice_Level2"/>
      <w:bookmarkStart w:id="29" w:name="_Toc2996_WPSOffice_Level2"/>
      <w:bookmarkStart w:id="30" w:name="_Toc1994"/>
      <w:bookmarkStart w:id="31" w:name="_Toc4751"/>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1</w:t>
      </w:r>
      <w:r>
        <w:rPr>
          <w:rFonts w:hint="eastAsia" w:ascii="Times New Roman" w:hAnsi="Times New Roman" w:cs="Times New Roman"/>
          <w:szCs w:val="22"/>
          <w:u w:val="single"/>
          <w:lang w:val="en-US" w:eastAsia="zh-CN"/>
        </w:rPr>
        <w:t>1</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9 </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highlight w:val="green"/>
        </w:rPr>
        <w:t>，并在2021年</w:t>
      </w:r>
      <w:r>
        <w:rPr>
          <w:rFonts w:hint="eastAsia" w:ascii="Times New Roman" w:hAnsi="Times New Roman"/>
          <w:highlight w:val="green"/>
          <w:lang w:val="en-US" w:eastAsia="zh-CN"/>
        </w:rPr>
        <w:t>11</w:t>
      </w:r>
      <w:r>
        <w:rPr>
          <w:rFonts w:hint="eastAsia" w:ascii="Times New Roman" w:hAnsi="Times New Roman"/>
          <w:highlight w:val="green"/>
        </w:rPr>
        <w:t>月</w:t>
      </w:r>
      <w:r>
        <w:rPr>
          <w:rFonts w:hint="eastAsia" w:ascii="Times New Roman" w:hAnsi="Times New Roman"/>
          <w:highlight w:val="green"/>
          <w:lang w:val="en-US" w:eastAsia="zh-CN"/>
        </w:rPr>
        <w:t>8</w:t>
      </w:r>
      <w:r>
        <w:rPr>
          <w:rFonts w:hint="eastAsia" w:ascii="Times New Roman" w:hAnsi="Times New Roman"/>
          <w:highlight w:val="green"/>
        </w:rPr>
        <w:t>日10：00时前到账，</w:t>
      </w:r>
      <w:r>
        <w:rPr>
          <w:rFonts w:hint="eastAsia" w:ascii="Times New Roman" w:hAnsi="Times New Roman"/>
        </w:rPr>
        <w:t>否则无效。如果成为采购人将自动转为履约保证金，交车后三个工作日退回，投标人需在响应文件提供基本账号，在询比结果公示后三个工作日退回。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6829"/>
      <w:bookmarkStart w:id="39" w:name="_Toc8501"/>
      <w:bookmarkStart w:id="40" w:name="_Toc20572_WPSOffice_Level2"/>
      <w:bookmarkStart w:id="41" w:name="_Toc321_WPSOffice_Level2"/>
      <w:bookmarkStart w:id="42" w:name="_Toc52563259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张经理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0551-64299058 </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ascii="Times New Roman" w:hAnsi="Times New Roman"/>
          <w:color w:val="auto"/>
          <w:sz w:val="21"/>
          <w:szCs w:val="22"/>
        </w:rPr>
        <w:t xml:space="preserve"> 10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29</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无。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w:t>
      </w:r>
      <w:r>
        <w:rPr>
          <w:rFonts w:hint="eastAsia" w:ascii="Times New Roman" w:hAnsi="Times New Roman" w:cs="Times New Roman"/>
          <w:highlight w:val="green"/>
        </w:rPr>
        <w:t>销售差价，</w:t>
      </w:r>
      <w:r>
        <w:rPr>
          <w:rFonts w:ascii="Times New Roman" w:hAnsi="Times New Roman" w:cs="Times New Roman"/>
          <w:highlight w:val="green"/>
        </w:rPr>
        <w:t>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评审小组人数：3-9人（单数）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spacing w:after="312" w:afterLines="100" w:line="4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条款号</w:t>
            </w:r>
          </w:p>
        </w:tc>
        <w:tc>
          <w:tcPr>
            <w:tcW w:w="1774" w:type="dxa"/>
            <w:vAlign w:val="center"/>
          </w:tcPr>
          <w:p>
            <w:pPr>
              <w:widowControl/>
              <w:ind w:firstLine="105" w:firstLineChars="5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1</w:t>
            </w:r>
          </w:p>
        </w:tc>
        <w:tc>
          <w:tcPr>
            <w:tcW w:w="1060" w:type="dxa"/>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评审</w:t>
            </w:r>
            <w:r>
              <w:rPr>
                <w:rFonts w:hint="eastAsia" w:ascii="Times New Roman" w:hAnsi="Times New Roman" w:eastAsia="宋体" w:cs="Times New Roman"/>
                <w:bCs/>
                <w:color w:val="auto"/>
                <w:kern w:val="0"/>
                <w:szCs w:val="21"/>
              </w:rPr>
              <w:t>方</w:t>
            </w:r>
            <w:r>
              <w:rPr>
                <w:rFonts w:ascii="Times New Roman" w:hAnsi="Times New Roman" w:eastAsia="宋体" w:cs="Times New Roman"/>
                <w:bCs/>
                <w:color w:val="auto"/>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成交候选人</w:t>
            </w:r>
          </w:p>
          <w:p>
            <w:pPr>
              <w:widowControl/>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color w:val="auto"/>
              </w:rPr>
            </w:pPr>
            <w:r>
              <w:rPr>
                <w:rFonts w:hint="eastAsia" w:ascii="Calibri" w:hAnsi="Calibri" w:eastAsia="宋体" w:cs="Times New Roman"/>
                <w:color w:val="auto"/>
              </w:rPr>
              <w:t>按综合得分由高到低的顺序依次推荐成交候选人：</w:t>
            </w:r>
          </w:p>
          <w:p>
            <w:pPr>
              <w:widowControl/>
              <w:adjustRightInd w:val="0"/>
              <w:snapToGrid w:val="0"/>
              <w:jc w:val="left"/>
              <w:rPr>
                <w:rFonts w:ascii="Calibri" w:hAnsi="Calibri" w:eastAsia="宋体" w:cs="Times New Roman"/>
                <w:color w:val="auto"/>
              </w:rPr>
            </w:pPr>
            <w:r>
              <w:rPr>
                <w:rFonts w:hint="eastAsia" w:ascii="Calibri" w:hAnsi="Calibri" w:eastAsia="宋体" w:cs="Times New Roman"/>
                <w:color w:val="auto"/>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color w:val="auto"/>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条款号</w:t>
            </w:r>
          </w:p>
        </w:tc>
        <w:tc>
          <w:tcPr>
            <w:tcW w:w="1759" w:type="dxa"/>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评审因素</w:t>
            </w:r>
          </w:p>
        </w:tc>
        <w:tc>
          <w:tcPr>
            <w:tcW w:w="5659" w:type="dxa"/>
            <w:vAlign w:val="center"/>
          </w:tcPr>
          <w:p>
            <w:pPr>
              <w:widowControl/>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签名</w:t>
            </w:r>
            <w:r>
              <w:rPr>
                <w:rFonts w:ascii="Times New Roman" w:hAnsi="Times New Roman" w:eastAsia="宋体" w:cs="Times New Roman"/>
                <w:color w:val="auto"/>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符合第二章“供应商须知”第3.</w:t>
            </w:r>
            <w:r>
              <w:rPr>
                <w:rFonts w:hint="eastAsia" w:ascii="Times New Roman" w:hAnsi="Times New Roman" w:eastAsia="宋体" w:cs="Times New Roman"/>
                <w:bCs/>
                <w:color w:val="auto"/>
                <w:kern w:val="0"/>
                <w:szCs w:val="21"/>
              </w:rPr>
              <w:t>6</w:t>
            </w:r>
            <w:r>
              <w:rPr>
                <w:rFonts w:ascii="Times New Roman" w:hAnsi="Times New Roman" w:eastAsia="宋体" w:cs="Times New Roman"/>
                <w:bCs/>
                <w:color w:val="auto"/>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符合第二章“供应商须知”第1.</w:t>
            </w:r>
            <w:r>
              <w:rPr>
                <w:rFonts w:hint="eastAsia" w:ascii="Times New Roman" w:hAnsi="Times New Roman" w:eastAsia="宋体" w:cs="Times New Roman"/>
                <w:color w:val="auto"/>
                <w:kern w:val="0"/>
                <w:szCs w:val="21"/>
              </w:rPr>
              <w:t>2</w:t>
            </w:r>
            <w:r>
              <w:rPr>
                <w:rFonts w:ascii="Times New Roman" w:hAnsi="Times New Roman" w:eastAsia="宋体" w:cs="Times New Roman"/>
                <w:color w:val="auto"/>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符合第二章“供应商须知”第1.</w:t>
            </w:r>
            <w:r>
              <w:rPr>
                <w:rFonts w:hint="eastAsia" w:ascii="Times New Roman" w:hAnsi="Times New Roman" w:eastAsia="宋体" w:cs="Times New Roman"/>
                <w:color w:val="auto"/>
                <w:kern w:val="0"/>
                <w:szCs w:val="21"/>
              </w:rPr>
              <w:t>1</w:t>
            </w:r>
            <w:r>
              <w:rPr>
                <w:rFonts w:ascii="Times New Roman" w:hAnsi="Times New Roman" w:eastAsia="宋体" w:cs="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符合</w:t>
            </w:r>
            <w:r>
              <w:rPr>
                <w:rFonts w:ascii="Times New Roman" w:hAnsi="Times New Roman" w:eastAsia="宋体" w:cs="Times New Roman"/>
                <w:color w:val="auto"/>
              </w:rPr>
              <w:t>第一章“</w:t>
            </w:r>
            <w:r>
              <w:rPr>
                <w:rFonts w:hint="eastAsia" w:ascii="Times New Roman" w:hAnsi="Times New Roman" w:eastAsia="宋体" w:cs="Times New Roman"/>
                <w:color w:val="auto"/>
                <w:szCs w:val="21"/>
              </w:rPr>
              <w:t>采购公告</w:t>
            </w:r>
            <w:r>
              <w:rPr>
                <w:rFonts w:ascii="Times New Roman" w:hAnsi="Times New Roman" w:eastAsia="宋体" w:cs="Times New Roman"/>
                <w:color w:val="auto"/>
              </w:rPr>
              <w:t>”</w:t>
            </w:r>
            <w:r>
              <w:rPr>
                <w:rFonts w:hint="eastAsia" w:ascii="Times New Roman" w:hAnsi="Times New Roman" w:eastAsia="宋体"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hint="eastAsia" w:ascii="Times New Roman" w:hAnsi="Times New Roman" w:eastAsia="宋体" w:cs="Times New Roman"/>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color w:val="auto"/>
                <w:kern w:val="0"/>
                <w:szCs w:val="21"/>
              </w:rPr>
            </w:pPr>
            <w:r>
              <w:rPr>
                <w:rFonts w:ascii="Times New Roman" w:hAnsi="Times New Roman" w:eastAsia="宋体" w:cs="Times New Roman"/>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（1）报价未超过询比文件设定的最高限价。</w:t>
            </w:r>
          </w:p>
          <w:p>
            <w:pPr>
              <w:widowControl/>
              <w:adjustRightInd w:val="0"/>
              <w:snapToGrid w:val="0"/>
              <w:spacing w:line="360" w:lineRule="atLeast"/>
              <w:jc w:val="left"/>
              <w:rPr>
                <w:rFonts w:ascii="Times New Roman" w:hAnsi="Times New Roman" w:eastAsia="宋体" w:cs="Times New Roman"/>
                <w:color w:val="auto"/>
              </w:rPr>
            </w:pPr>
            <w:r>
              <w:rPr>
                <w:rFonts w:hint="eastAsia" w:ascii="Times New Roman" w:hAnsi="Times New Roman" w:eastAsia="宋体" w:cs="Times New Roman"/>
                <w:color w:val="auto"/>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4</w:t>
            </w:r>
            <w:r>
              <w:rPr>
                <w:rFonts w:ascii="Times New Roman" w:hAnsi="Times New Roman" w:eastAsia="宋体" w:cs="Times New Roman"/>
                <w:color w:val="auto"/>
              </w:rPr>
              <w:t>）同一供应商未递交两个以上不同的报价。</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5</w:t>
            </w:r>
            <w:r>
              <w:rPr>
                <w:rFonts w:ascii="Times New Roman" w:hAnsi="Times New Roman" w:eastAsia="宋体" w:cs="Times New Roman"/>
                <w:color w:val="auto"/>
              </w:rPr>
              <w:t>）供应商</w:t>
            </w:r>
            <w:r>
              <w:rPr>
                <w:rFonts w:hint="eastAsia" w:ascii="Times New Roman" w:hAnsi="Times New Roman" w:eastAsia="宋体" w:cs="Times New Roman"/>
                <w:color w:val="auto"/>
              </w:rPr>
              <w:t>按</w:t>
            </w:r>
            <w:r>
              <w:rPr>
                <w:rFonts w:ascii="Times New Roman" w:hAnsi="Times New Roman" w:eastAsia="宋体" w:cs="Times New Roman"/>
                <w:color w:val="auto"/>
              </w:rPr>
              <w:t>采购人提供的书面</w:t>
            </w:r>
            <w:r>
              <w:rPr>
                <w:rFonts w:hint="eastAsia" w:ascii="Times New Roman" w:hAnsi="Times New Roman" w:eastAsia="宋体" w:cs="Times New Roman"/>
                <w:color w:val="auto"/>
              </w:rPr>
              <w:t>报价清单填写了报价，且未修改报价清单说明、数量等实质性内容</w:t>
            </w:r>
            <w:r>
              <w:rPr>
                <w:rFonts w:ascii="Times New Roman" w:hAnsi="Times New Roman" w:eastAsia="宋体" w:cs="Times New Roman"/>
                <w:color w:val="auto"/>
              </w:rPr>
              <w:t>。</w:t>
            </w:r>
          </w:p>
          <w:p>
            <w:pPr>
              <w:widowControl/>
              <w:adjustRightInd w:val="0"/>
              <w:snapToGrid w:val="0"/>
              <w:spacing w:line="360" w:lineRule="atLeast"/>
              <w:jc w:val="left"/>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6</w:t>
            </w:r>
            <w:r>
              <w:rPr>
                <w:rFonts w:ascii="Times New Roman" w:hAnsi="Times New Roman" w:eastAsia="宋体" w:cs="Times New Roman"/>
                <w:color w:val="auto"/>
              </w:rPr>
              <w:t>）已标价</w:t>
            </w:r>
            <w:r>
              <w:rPr>
                <w:rFonts w:hint="eastAsia" w:ascii="Times New Roman" w:hAnsi="Times New Roman" w:eastAsia="宋体" w:cs="Times New Roman"/>
                <w:color w:val="auto"/>
                <w:kern w:val="0"/>
                <w:szCs w:val="21"/>
              </w:rPr>
              <w:t>报价清单</w:t>
            </w:r>
            <w:r>
              <w:rPr>
                <w:rFonts w:ascii="Times New Roman" w:hAnsi="Times New Roman" w:eastAsia="宋体" w:cs="Times New Roman"/>
                <w:color w:val="auto"/>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符合询比文件的其他实质性要求和条件</w:t>
            </w:r>
          </w:p>
        </w:tc>
      </w:tr>
    </w:tbl>
    <w:p>
      <w:pPr>
        <w:widowControl/>
        <w:spacing w:line="360" w:lineRule="atLeast"/>
        <w:jc w:val="center"/>
        <w:rPr>
          <w:rFonts w:ascii="Times New Roman" w:hAnsi="Times New Roman" w:eastAsia="宋体" w:cs="Times New Roman"/>
          <w:color w:val="auto"/>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条款内容</w:t>
            </w:r>
          </w:p>
        </w:tc>
        <w:tc>
          <w:tcPr>
            <w:tcW w:w="6232" w:type="dxa"/>
            <w:vAlign w:val="center"/>
          </w:tcPr>
          <w:p>
            <w:pPr>
              <w:widowControl/>
              <w:snapToGrid w:val="0"/>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2.2.1</w:t>
            </w:r>
          </w:p>
        </w:tc>
        <w:tc>
          <w:tcPr>
            <w:tcW w:w="1276" w:type="dxa"/>
            <w:tcMar>
              <w:left w:w="75" w:type="dxa"/>
            </w:tcMar>
            <w:vAlign w:val="center"/>
          </w:tcPr>
          <w:p>
            <w:pPr>
              <w:snapToGrid w:val="0"/>
              <w:jc w:val="left"/>
              <w:rPr>
                <w:rFonts w:ascii="Times New Roman" w:hAnsi="Times New Roman" w:eastAsia="宋体" w:cs="Times New Roman"/>
                <w:bCs/>
                <w:color w:val="auto"/>
                <w:kern w:val="0"/>
                <w:szCs w:val="21"/>
              </w:rPr>
            </w:pPr>
            <w:r>
              <w:rPr>
                <w:rFonts w:ascii="Times New Roman" w:hAnsi="Times New Roman" w:eastAsia="宋体" w:cs="Times New Roman"/>
                <w:color w:val="auto"/>
                <w:szCs w:val="21"/>
              </w:rPr>
              <w:t>分值构成（100分）</w:t>
            </w:r>
          </w:p>
        </w:tc>
        <w:tc>
          <w:tcPr>
            <w:tcW w:w="6232" w:type="dxa"/>
            <w:vAlign w:val="center"/>
          </w:tcPr>
          <w:p>
            <w:pPr>
              <w:spacing w:line="360" w:lineRule="atLeast"/>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技术性能</w:t>
            </w:r>
            <w:r>
              <w:rPr>
                <w:rFonts w:ascii="Times New Roman" w:hAnsi="Times New Roman" w:eastAsia="宋体" w:cs="Times New Roman"/>
                <w:color w:val="auto"/>
                <w:szCs w:val="21"/>
              </w:rPr>
              <w:t>：</w:t>
            </w:r>
            <w:r>
              <w:rPr>
                <w:rFonts w:ascii="Times New Roman" w:hAnsi="Times New Roman" w:eastAsia="宋体" w:cs="Times New Roman"/>
                <w:color w:val="auto"/>
                <w:szCs w:val="21"/>
                <w:u w:val="single"/>
              </w:rPr>
              <w:t>40</w:t>
            </w:r>
            <w:r>
              <w:rPr>
                <w:rFonts w:ascii="Times New Roman" w:hAnsi="Times New Roman" w:eastAsia="宋体" w:cs="Times New Roman"/>
                <w:color w:val="auto"/>
                <w:szCs w:val="21"/>
              </w:rPr>
              <w:t>分</w:t>
            </w:r>
          </w:p>
          <w:p>
            <w:pPr>
              <w:spacing w:line="360" w:lineRule="atLeast"/>
              <w:ind w:firstLine="420"/>
              <w:rPr>
                <w:rFonts w:ascii="Times New Roman" w:hAnsi="Times New Roman" w:eastAsia="宋体" w:cs="Times New Roman"/>
                <w:color w:val="auto"/>
                <w:kern w:val="0"/>
                <w:szCs w:val="21"/>
              </w:rPr>
            </w:pPr>
            <w:r>
              <w:rPr>
                <w:rFonts w:ascii="Times New Roman" w:hAnsi="Times New Roman" w:eastAsia="宋体" w:cs="Times New Roman"/>
                <w:color w:val="auto"/>
                <w:szCs w:val="21"/>
              </w:rPr>
              <w:t>评审价：</w:t>
            </w:r>
            <w:r>
              <w:rPr>
                <w:rFonts w:hint="eastAsia" w:ascii="Times New Roman" w:hAnsi="Times New Roman" w:eastAsia="宋体" w:cs="Times New Roman"/>
                <w:color w:val="auto"/>
                <w:szCs w:val="21"/>
                <w:u w:val="single"/>
              </w:rPr>
              <w:t>60</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color w:val="auto"/>
                <w:kern w:val="0"/>
                <w:szCs w:val="21"/>
              </w:rPr>
            </w:pPr>
            <w:r>
              <w:rPr>
                <w:rFonts w:ascii="Times New Roman" w:hAnsi="Times New Roman" w:eastAsia="宋体" w:cs="Times New Roman"/>
                <w:color w:val="auto"/>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评审基准价的计算：</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在启封现场，采购人将当场计算并宣布评审基准价。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（1）评审价的确定：</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评审价＝报价函文字报价</w:t>
            </w:r>
            <w:r>
              <w:rPr>
                <w:rFonts w:hint="eastAsia" w:ascii="Times New Roman" w:hAnsi="Times New Roman" w:eastAsia="宋体" w:cs="Times New Roman"/>
                <w:color w:val="auto"/>
                <w:szCs w:val="21"/>
              </w:rPr>
              <w:t>（大小写不一致时以大写为准）</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（2）评审价平均值的计算：</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（3）评审基准价的确定：</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将评审价平均值直接作为评审基准价。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在评审过程中，</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偏差率=100% ×（供应商评审价－评审基准价）/评审基准价</w:t>
            </w:r>
          </w:p>
          <w:p>
            <w:pPr>
              <w:spacing w:line="360" w:lineRule="atLeast"/>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偏差率保留</w:t>
            </w:r>
            <w:r>
              <w:rPr>
                <w:rFonts w:hint="eastAsia" w:ascii="Times New Roman" w:hAnsi="Times New Roman" w:eastAsia="宋体" w:cs="Times New Roman"/>
                <w:color w:val="auto"/>
                <w:szCs w:val="21"/>
                <w:u w:val="single"/>
              </w:rPr>
              <w:t>2</w:t>
            </w:r>
            <w:r>
              <w:rPr>
                <w:rFonts w:ascii="Times New Roman" w:hAnsi="Times New Roman" w:eastAsia="宋体" w:cs="Times New Roman"/>
                <w:color w:val="auto"/>
                <w:szCs w:val="21"/>
              </w:rPr>
              <w:t>位小数</w:t>
            </w:r>
          </w:p>
        </w:tc>
      </w:tr>
    </w:tbl>
    <w:p>
      <w:pPr>
        <w:jc w:val="right"/>
        <w:rPr>
          <w:rFonts w:ascii="Times New Roman" w:hAnsi="Times New Roman" w:eastAsia="宋体" w:cs="Times New Roman"/>
          <w:color w:val="FF0000"/>
          <w:spacing w:val="4"/>
          <w:szCs w:val="21"/>
        </w:rPr>
      </w:pPr>
    </w:p>
    <w:p>
      <w:pPr>
        <w:jc w:val="left"/>
        <w:rPr>
          <w:rFonts w:ascii="Times New Roman" w:hAnsi="Times New Roman" w:eastAsia="宋体" w:cs="Times New Roman"/>
          <w:color w:val="FF0000"/>
          <w:spacing w:val="4"/>
          <w:szCs w:val="21"/>
        </w:rPr>
      </w:pPr>
      <w:r>
        <w:rPr>
          <w:rFonts w:ascii="Times New Roman" w:hAnsi="Times New Roman" w:eastAsia="宋体" w:cs="Times New Roman"/>
          <w:color w:val="FF0000"/>
          <w:spacing w:val="4"/>
          <w:szCs w:val="21"/>
        </w:rPr>
        <w:br w:type="page"/>
      </w:r>
    </w:p>
    <w:p>
      <w:pPr>
        <w:jc w:val="right"/>
        <w:rPr>
          <w:rFonts w:ascii="Times New Roman" w:hAnsi="Times New Roman" w:eastAsia="宋体" w:cs="Times New Roman"/>
          <w:color w:val="FF0000"/>
        </w:rPr>
      </w:pPr>
      <w:r>
        <w:rPr>
          <w:rFonts w:ascii="Times New Roman" w:hAnsi="Times New Roman" w:eastAsia="宋体" w:cs="Times New Roman"/>
          <w:color w:val="auto"/>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825"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评分因素权重分值</w:t>
            </w:r>
          </w:p>
        </w:tc>
        <w:tc>
          <w:tcPr>
            <w:tcW w:w="1134" w:type="dxa"/>
            <w:vAlign w:val="center"/>
          </w:tcPr>
          <w:p>
            <w:pPr>
              <w:spacing w:line="38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各评分因素细分项</w:t>
            </w:r>
          </w:p>
        </w:tc>
        <w:tc>
          <w:tcPr>
            <w:tcW w:w="567" w:type="dxa"/>
            <w:vAlign w:val="center"/>
          </w:tcPr>
          <w:p>
            <w:pPr>
              <w:spacing w:line="380" w:lineRule="atLeast"/>
              <w:jc w:val="right"/>
              <w:rPr>
                <w:rFonts w:ascii="Times New Roman" w:hAnsi="Times New Roman" w:eastAsia="宋体" w:cs="Times New Roman"/>
                <w:b/>
                <w:color w:val="auto"/>
                <w:szCs w:val="21"/>
              </w:rPr>
            </w:pPr>
            <w:r>
              <w:rPr>
                <w:rFonts w:ascii="Times New Roman" w:hAnsi="Times New Roman" w:eastAsia="宋体" w:cs="Times New Roman"/>
                <w:b/>
                <w:color w:val="auto"/>
                <w:szCs w:val="21"/>
              </w:rPr>
              <w:t>分值</w:t>
            </w:r>
          </w:p>
        </w:tc>
        <w:tc>
          <w:tcPr>
            <w:tcW w:w="4668" w:type="dxa"/>
            <w:vMerge w:val="continue"/>
          </w:tcPr>
          <w:p>
            <w:pPr>
              <w:spacing w:line="380" w:lineRule="atLeast"/>
              <w:jc w:val="center"/>
              <w:rPr>
                <w:rFonts w:ascii="Times New Roman" w:hAnsi="Times New Roman"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p>
        </w:tc>
        <w:tc>
          <w:tcPr>
            <w:tcW w:w="825" w:type="dxa"/>
            <w:vMerge w:val="restart"/>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技术性能</w:t>
            </w:r>
          </w:p>
        </w:tc>
        <w:tc>
          <w:tcPr>
            <w:tcW w:w="850" w:type="dxa"/>
            <w:vMerge w:val="restart"/>
            <w:vAlign w:val="center"/>
          </w:tcPr>
          <w:p>
            <w:pPr>
              <w:spacing w:line="380" w:lineRule="atLeast"/>
              <w:jc w:val="right"/>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 xml:space="preserve"> 40 </w:t>
            </w:r>
            <w:r>
              <w:rPr>
                <w:rFonts w:ascii="Times New Roman" w:hAnsi="Times New Roman" w:eastAsia="宋体" w:cs="Times New Roman"/>
                <w:color w:val="auto"/>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技术指标</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color w:val="auto"/>
                <w:kern w:val="1"/>
                <w:szCs w:val="21"/>
                <w:shd w:val="clear" w:color="auto" w:fill="FFFFFF"/>
              </w:rPr>
            </w:pPr>
            <w:r>
              <w:rPr>
                <w:rFonts w:ascii="宋体" w:hAnsi="宋体" w:cs="宋体"/>
                <w:color w:val="auto"/>
                <w:kern w:val="1"/>
                <w:szCs w:val="21"/>
                <w:shd w:val="clear" w:color="auto" w:fill="FFFFFF"/>
              </w:rPr>
              <w:t>1、任何一项带“</w:t>
            </w:r>
            <w:r>
              <w:rPr>
                <w:rFonts w:hint="eastAsia" w:ascii="宋体" w:hAnsi="宋体" w:cs="宋体"/>
                <w:color w:val="auto"/>
                <w:szCs w:val="21"/>
              </w:rPr>
              <w:t>★</w:t>
            </w:r>
            <w:r>
              <w:rPr>
                <w:rFonts w:hint="eastAsia" w:ascii="宋体" w:hAnsi="宋体" w:cs="宋体"/>
                <w:color w:val="auto"/>
                <w:kern w:val="1"/>
                <w:szCs w:val="21"/>
                <w:shd w:val="clear" w:color="auto" w:fill="FFFFFF"/>
              </w:rPr>
              <w:t>”号重要技术指标、参数或性能描述没有实质性响应招标文件的要求</w:t>
            </w:r>
            <w:r>
              <w:rPr>
                <w:rFonts w:ascii="宋体" w:hAnsi="宋体" w:cs="宋体"/>
                <w:color w:val="auto"/>
                <w:kern w:val="1"/>
                <w:szCs w:val="21"/>
                <w:shd w:val="clear" w:color="auto" w:fill="FFFFFF"/>
              </w:rPr>
              <w:t>,技术部分得0分。</w:t>
            </w:r>
          </w:p>
          <w:p>
            <w:pPr>
              <w:kinsoku w:val="0"/>
              <w:autoSpaceDE w:val="0"/>
              <w:autoSpaceDN w:val="0"/>
              <w:adjustRightInd w:val="0"/>
              <w:spacing w:before="156" w:beforeLines="50" w:line="332" w:lineRule="exact"/>
              <w:rPr>
                <w:color w:val="auto"/>
                <w:szCs w:val="21"/>
              </w:rPr>
            </w:pPr>
            <w:r>
              <w:rPr>
                <w:rFonts w:ascii="宋体" w:hAnsi="宋体" w:cs="宋体"/>
                <w:color w:val="auto"/>
                <w:kern w:val="1"/>
                <w:szCs w:val="21"/>
                <w:shd w:val="clear" w:color="auto" w:fill="FFFFFF"/>
              </w:rPr>
              <w:t>2、</w:t>
            </w:r>
            <w:r>
              <w:rPr>
                <w:rFonts w:hint="eastAsia"/>
                <w:color w:val="auto"/>
                <w:szCs w:val="21"/>
              </w:rPr>
              <w:t>报价文件中提供主要技术参数均满足询价文件要求的，得基本分15分；在此基础上：</w:t>
            </w:r>
          </w:p>
          <w:p>
            <w:pPr>
              <w:adjustRightInd w:val="0"/>
              <w:snapToGrid w:val="0"/>
              <w:spacing w:line="276" w:lineRule="auto"/>
              <w:rPr>
                <w:rFonts w:ascii="Times New Roman" w:hAnsi="Times New Roman" w:eastAsia="宋体" w:cs="Times New Roman"/>
                <w:color w:val="auto"/>
                <w:szCs w:val="21"/>
              </w:rPr>
            </w:pPr>
            <w:r>
              <w:rPr>
                <w:rFonts w:hint="eastAsia"/>
                <w:color w:val="auto"/>
                <w:szCs w:val="21"/>
              </w:rPr>
              <w:t>主要技术参数优于询价文件要求的，每有一项加</w:t>
            </w:r>
            <w:r>
              <w:rPr>
                <w:color w:val="auto"/>
                <w:szCs w:val="21"/>
              </w:rPr>
              <w:t>1</w:t>
            </w:r>
            <w:r>
              <w:rPr>
                <w:rFonts w:hint="eastAsia"/>
                <w:color w:val="auto"/>
                <w:szCs w:val="21"/>
              </w:rPr>
              <w:t>分，本项最多加5分，本项满分20分。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业绩要求</w:t>
            </w:r>
          </w:p>
        </w:tc>
        <w:tc>
          <w:tcPr>
            <w:tcW w:w="56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8</w:t>
            </w:r>
          </w:p>
        </w:tc>
        <w:tc>
          <w:tcPr>
            <w:tcW w:w="4668" w:type="dxa"/>
            <w:vAlign w:val="center"/>
          </w:tcPr>
          <w:p>
            <w:pPr>
              <w:spacing w:before="156" w:beforeLines="50" w:line="0" w:lineRule="atLeast"/>
              <w:rPr>
                <w:rFonts w:ascii="宋体" w:hAnsi="宋体" w:cs="宋体"/>
                <w:b/>
                <w:color w:val="auto"/>
                <w:spacing w:val="-159"/>
                <w:szCs w:val="21"/>
              </w:rPr>
            </w:pPr>
            <w:r>
              <w:rPr>
                <w:rFonts w:ascii="宋体" w:hAnsi="宋体"/>
                <w:b/>
                <w:color w:val="auto"/>
                <w:szCs w:val="21"/>
              </w:rPr>
              <w:t>2.销售业绩</w:t>
            </w:r>
            <w:r>
              <w:rPr>
                <w:rFonts w:hint="eastAsia" w:ascii="宋体" w:hAnsi="宋体"/>
                <w:b/>
                <w:color w:val="auto"/>
                <w:szCs w:val="21"/>
              </w:rPr>
              <w:t>（</w:t>
            </w:r>
            <w:r>
              <w:rPr>
                <w:rFonts w:ascii="宋体" w:hAnsi="宋体"/>
                <w:b/>
                <w:color w:val="auto"/>
                <w:szCs w:val="21"/>
              </w:rPr>
              <w:t>8</w:t>
            </w:r>
            <w:r>
              <w:rPr>
                <w:rFonts w:hint="eastAsia" w:ascii="宋体" w:hAnsi="宋体"/>
                <w:b/>
                <w:color w:val="auto"/>
                <w:szCs w:val="21"/>
              </w:rPr>
              <w:t>分）</w:t>
            </w:r>
          </w:p>
          <w:p>
            <w:pPr>
              <w:spacing w:before="156" w:beforeLines="50" w:line="0" w:lineRule="atLeast"/>
              <w:rPr>
                <w:rFonts w:ascii="宋体" w:hAnsi="宋体"/>
                <w:b/>
                <w:color w:val="auto"/>
                <w:szCs w:val="21"/>
              </w:rPr>
            </w:pPr>
            <w:r>
              <w:rPr>
                <w:rFonts w:hint="eastAsia" w:ascii="宋体" w:hAnsi="宋体"/>
                <w:color w:val="auto"/>
                <w:szCs w:val="21"/>
              </w:rPr>
              <w:t>投标人提供的业绩满足询</w:t>
            </w:r>
            <w:r>
              <w:rPr>
                <w:rFonts w:hint="eastAsia" w:ascii="宋体" w:hAnsi="宋体"/>
                <w:color w:val="auto"/>
                <w:szCs w:val="21"/>
                <w:lang w:eastAsia="zh-CN"/>
              </w:rPr>
              <w:t>价</w:t>
            </w:r>
            <w:r>
              <w:rPr>
                <w:rFonts w:hint="eastAsia" w:ascii="宋体" w:hAnsi="宋体"/>
                <w:color w:val="auto"/>
                <w:szCs w:val="21"/>
              </w:rPr>
              <w:t>文件资格要求的，得基本分</w:t>
            </w:r>
            <w:r>
              <w:rPr>
                <w:rFonts w:ascii="宋体" w:hAnsi="宋体"/>
                <w:color w:val="auto"/>
                <w:szCs w:val="21"/>
              </w:rPr>
              <w:t>4分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p>
          <w:p>
            <w:pPr>
              <w:spacing w:line="300" w:lineRule="atLeast"/>
              <w:rPr>
                <w:rFonts w:ascii="宋体" w:hAnsi="宋体"/>
                <w:color w:val="auto"/>
                <w:szCs w:val="21"/>
              </w:rPr>
            </w:pPr>
            <w:r>
              <w:rPr>
                <w:rFonts w:ascii="宋体" w:hAnsi="宋体"/>
                <w:color w:val="auto"/>
                <w:szCs w:val="21"/>
              </w:rPr>
              <w:t>投标人或所投设备制造商</w:t>
            </w:r>
            <w:r>
              <w:rPr>
                <w:rFonts w:hint="eastAsia" w:ascii="宋体" w:hAnsi="宋体"/>
                <w:color w:val="auto"/>
                <w:szCs w:val="21"/>
              </w:rPr>
              <w:t>提供的</w:t>
            </w:r>
            <w:r>
              <w:rPr>
                <w:rFonts w:hint="eastAsia" w:ascii="宋体" w:hAnsi="宋体" w:cs="宋体"/>
                <w:color w:val="auto"/>
              </w:rPr>
              <w:t>近三年（</w:t>
            </w:r>
            <w:r>
              <w:rPr>
                <w:rFonts w:ascii="宋体" w:hAnsi="宋体" w:cs="宋体"/>
                <w:color w:val="auto"/>
              </w:rPr>
              <w:t>2018年1月1日至</w:t>
            </w:r>
            <w:r>
              <w:rPr>
                <w:rFonts w:ascii="Times New Roman" w:hAnsi="Times New Roman" w:cs="Times New Roman"/>
                <w:color w:val="auto"/>
                <w:szCs w:val="22"/>
              </w:rPr>
              <w:t>响应文件递交截止日期</w:t>
            </w:r>
            <w:r>
              <w:rPr>
                <w:rFonts w:ascii="宋体" w:hAnsi="宋体" w:cs="宋体"/>
                <w:color w:val="auto"/>
              </w:rPr>
              <w:t>，以合同签订时间为准）每</w:t>
            </w:r>
            <w:r>
              <w:rPr>
                <w:rFonts w:ascii="宋体" w:hAnsi="宋体"/>
                <w:color w:val="auto"/>
                <w:szCs w:val="21"/>
              </w:rPr>
              <w:t>增加5</w:t>
            </w:r>
            <w:r>
              <w:rPr>
                <w:rFonts w:hint="eastAsia" w:ascii="宋体" w:hAnsi="宋体"/>
                <w:color w:val="auto"/>
                <w:szCs w:val="21"/>
              </w:rPr>
              <w:t>台清障车</w:t>
            </w:r>
            <w:r>
              <w:rPr>
                <w:rFonts w:ascii="宋体" w:hAnsi="宋体"/>
                <w:color w:val="auto"/>
                <w:szCs w:val="21"/>
              </w:rPr>
              <w:t>销售业绩</w:t>
            </w:r>
            <w:r>
              <w:rPr>
                <w:rFonts w:hint="eastAsia" w:ascii="宋体" w:hAnsi="宋体"/>
                <w:color w:val="auto"/>
                <w:szCs w:val="21"/>
              </w:rPr>
              <w:t>加</w:t>
            </w:r>
            <w:r>
              <w:rPr>
                <w:rFonts w:ascii="宋体" w:hAnsi="宋体"/>
                <w:color w:val="auto"/>
                <w:szCs w:val="21"/>
              </w:rPr>
              <w:t>1分</w:t>
            </w:r>
            <w:r>
              <w:rPr>
                <w:rFonts w:hint="eastAsia" w:ascii="宋体" w:hAnsi="宋体"/>
                <w:color w:val="auto"/>
                <w:szCs w:val="21"/>
              </w:rPr>
              <w:t xml:space="preserve">。 </w:t>
            </w:r>
          </w:p>
          <w:p>
            <w:pPr>
              <w:spacing w:before="156" w:beforeLines="50" w:line="320" w:lineRule="exact"/>
              <w:rPr>
                <w:rFonts w:ascii="宋体" w:hAnsi="宋体"/>
                <w:bCs/>
                <w:color w:val="auto"/>
                <w:szCs w:val="21"/>
              </w:rPr>
            </w:pPr>
            <w:r>
              <w:rPr>
                <w:rFonts w:hint="eastAsia" w:ascii="宋体" w:hAnsi="宋体"/>
                <w:bCs/>
                <w:color w:val="auto"/>
                <w:szCs w:val="21"/>
              </w:rPr>
              <w:t>评审依据：投标人提供合同原件（备查），并同时在投标文件中提供彩色复印件，不提供不得分。</w:t>
            </w:r>
          </w:p>
          <w:p>
            <w:pPr>
              <w:pStyle w:val="2"/>
              <w:rPr>
                <w:color w:val="auto"/>
              </w:rPr>
            </w:pPr>
            <w:r>
              <w:rPr>
                <w:rFonts w:hint="eastAsia" w:ascii="宋体" w:hAnsi="宋体"/>
                <w:bCs/>
                <w:color w:val="auto"/>
                <w:szCs w:val="21"/>
              </w:rPr>
              <w:t>注：提供投标人与经销商签订的合同一律不予认可。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企业</w:t>
            </w:r>
            <w:r>
              <w:rPr>
                <w:rFonts w:ascii="Times New Roman" w:hAnsi="Times New Roman" w:eastAsia="宋体" w:cs="Times New Roman"/>
                <w:color w:val="auto"/>
                <w:szCs w:val="21"/>
              </w:rPr>
              <w:t>资质</w:t>
            </w:r>
          </w:p>
        </w:tc>
        <w:tc>
          <w:tcPr>
            <w:tcW w:w="567"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p>
        </w:tc>
        <w:tc>
          <w:tcPr>
            <w:tcW w:w="4668" w:type="dxa"/>
            <w:vAlign w:val="center"/>
          </w:tcPr>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1.所投品牌设备制造商企业</w:t>
            </w:r>
            <w:r>
              <w:rPr>
                <w:rFonts w:hint="eastAsia" w:ascii="Calibri" w:hAnsi="Calibri" w:eastAsia="宋体" w:cs="Times New Roman"/>
                <w:color w:val="auto"/>
              </w:rPr>
              <w:t>获得质量管理体系认证证书的</w:t>
            </w:r>
            <w:r>
              <w:rPr>
                <w:rFonts w:ascii="Calibri" w:hAnsi="Calibri" w:eastAsia="宋体" w:cs="Times New Roman"/>
                <w:color w:val="auto"/>
              </w:rPr>
              <w:t>得2分；</w:t>
            </w:r>
          </w:p>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2.所投品牌设备制造商企业</w:t>
            </w:r>
            <w:r>
              <w:rPr>
                <w:rFonts w:hint="eastAsia" w:ascii="Calibri" w:hAnsi="Calibri" w:eastAsia="宋体" w:cs="Times New Roman"/>
                <w:color w:val="auto"/>
              </w:rPr>
              <w:t>获得环境管理体系认证证书</w:t>
            </w:r>
            <w:r>
              <w:rPr>
                <w:rFonts w:ascii="Calibri" w:hAnsi="Calibri" w:eastAsia="宋体" w:cs="Times New Roman"/>
                <w:color w:val="auto"/>
              </w:rPr>
              <w:t>的得2分；</w:t>
            </w:r>
          </w:p>
          <w:p>
            <w:pPr>
              <w:adjustRightInd w:val="0"/>
              <w:snapToGrid w:val="0"/>
              <w:spacing w:line="276" w:lineRule="auto"/>
              <w:rPr>
                <w:rFonts w:ascii="Calibri" w:hAnsi="Calibri" w:eastAsia="宋体" w:cs="Times New Roman"/>
                <w:color w:val="auto"/>
              </w:rPr>
            </w:pPr>
            <w:r>
              <w:rPr>
                <w:rFonts w:ascii="Calibri" w:hAnsi="Calibri" w:eastAsia="宋体" w:cs="Times New Roman"/>
                <w:color w:val="auto"/>
              </w:rPr>
              <w:t>3.所投品牌设备制造商企业</w:t>
            </w:r>
            <w:r>
              <w:rPr>
                <w:rFonts w:hint="eastAsia" w:ascii="Calibri" w:hAnsi="Calibri" w:eastAsia="宋体" w:cs="Times New Roman"/>
                <w:color w:val="auto"/>
              </w:rPr>
              <w:t>获得职业健康安全管理体系认证证书</w:t>
            </w:r>
            <w:r>
              <w:rPr>
                <w:rFonts w:ascii="Calibri" w:hAnsi="Calibri" w:eastAsia="宋体" w:cs="Times New Roman"/>
                <w:color w:val="auto"/>
              </w:rPr>
              <w:t>的得2分；</w:t>
            </w:r>
          </w:p>
          <w:p>
            <w:pPr>
              <w:pStyle w:val="2"/>
              <w:rPr>
                <w:rFonts w:ascii="Calibri" w:hAnsi="Calibri" w:eastAsia="宋体" w:cs="Times New Roman"/>
                <w:color w:val="auto"/>
              </w:rPr>
            </w:pPr>
            <w:r>
              <w:rPr>
                <w:rFonts w:hint="eastAsia" w:ascii="Calibri" w:hAnsi="Calibri" w:eastAsia="宋体" w:cs="Times New Roman"/>
                <w:color w:val="auto"/>
              </w:rPr>
              <w:t>4、</w:t>
            </w:r>
            <w:r>
              <w:rPr>
                <w:rFonts w:ascii="Calibri" w:hAnsi="Calibri" w:eastAsia="宋体" w:cs="Times New Roman"/>
                <w:color w:val="auto"/>
              </w:rPr>
              <w:t>所投品牌设备制造商企业</w:t>
            </w:r>
            <w:r>
              <w:rPr>
                <w:rFonts w:hint="eastAsia" w:ascii="Calibri" w:hAnsi="Calibri" w:eastAsia="宋体" w:cs="Times New Roman"/>
                <w:color w:val="auto"/>
              </w:rPr>
              <w:t>获得国家级高新技术企业证书的得2分；</w:t>
            </w:r>
          </w:p>
          <w:p>
            <w:pPr>
              <w:pStyle w:val="2"/>
              <w:rPr>
                <w:rFonts w:ascii="Calibri" w:hAnsi="Calibri" w:eastAsia="宋体" w:cs="Times New Roman"/>
                <w:color w:val="auto"/>
              </w:rPr>
            </w:pPr>
            <w:r>
              <w:rPr>
                <w:rFonts w:hint="eastAsia" w:ascii="Calibri" w:hAnsi="Calibri" w:eastAsia="宋体" w:cs="Times New Roman"/>
                <w:color w:val="auto"/>
              </w:rPr>
              <w:t>5、提供</w:t>
            </w:r>
            <w:r>
              <w:rPr>
                <w:rFonts w:ascii="Calibri" w:hAnsi="Calibri" w:eastAsia="宋体" w:cs="Times New Roman"/>
                <w:color w:val="auto"/>
              </w:rPr>
              <w:t>所投品牌设备制造商</w:t>
            </w:r>
            <w:r>
              <w:rPr>
                <w:rFonts w:hint="eastAsia" w:ascii="Calibri" w:hAnsi="Calibri" w:eastAsia="宋体" w:cs="Times New Roman"/>
                <w:color w:val="auto"/>
              </w:rPr>
              <w:t>清障车产品相关技术专利证书的每项加0</w:t>
            </w:r>
            <w:r>
              <w:rPr>
                <w:rFonts w:ascii="Calibri" w:hAnsi="Calibri" w:eastAsia="宋体" w:cs="Times New Roman"/>
                <w:color w:val="auto"/>
              </w:rPr>
              <w:t>.5</w:t>
            </w:r>
            <w:r>
              <w:rPr>
                <w:rFonts w:hint="eastAsia" w:ascii="Calibri" w:hAnsi="Calibri" w:eastAsia="宋体" w:cs="Times New Roman"/>
                <w:color w:val="auto"/>
              </w:rPr>
              <w:t>分</w:t>
            </w:r>
            <w:r>
              <w:rPr>
                <w:rFonts w:hint="eastAsia" w:ascii="Calibri" w:hAnsi="Calibri" w:eastAsia="宋体" w:cs="Times New Roman"/>
                <w:color w:val="auto"/>
                <w:lang w:eastAsia="zh-CN"/>
              </w:rPr>
              <w:t>，最高得分</w:t>
            </w:r>
            <w:r>
              <w:rPr>
                <w:rFonts w:hint="eastAsia" w:ascii="Calibri" w:hAnsi="Calibri" w:eastAsia="宋体" w:cs="Times New Roman"/>
                <w:color w:val="auto"/>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color w:val="auto"/>
                <w:szCs w:val="21"/>
              </w:rPr>
            </w:pPr>
          </w:p>
        </w:tc>
        <w:tc>
          <w:tcPr>
            <w:tcW w:w="825" w:type="dxa"/>
            <w:vMerge w:val="continue"/>
            <w:vAlign w:val="center"/>
          </w:tcPr>
          <w:p>
            <w:pPr>
              <w:spacing w:line="380" w:lineRule="atLeast"/>
              <w:jc w:val="center"/>
              <w:rPr>
                <w:rFonts w:ascii="Times New Roman" w:hAnsi="Times New Roman" w:eastAsia="宋体" w:cs="Times New Roman"/>
                <w:color w:val="auto"/>
                <w:szCs w:val="21"/>
              </w:rPr>
            </w:pPr>
          </w:p>
        </w:tc>
        <w:tc>
          <w:tcPr>
            <w:tcW w:w="850" w:type="dxa"/>
            <w:vMerge w:val="continue"/>
            <w:vAlign w:val="center"/>
          </w:tcPr>
          <w:p>
            <w:pPr>
              <w:spacing w:line="380" w:lineRule="atLeast"/>
              <w:jc w:val="right"/>
              <w:rPr>
                <w:rFonts w:ascii="Times New Roman" w:hAnsi="Times New Roman" w:eastAsia="宋体" w:cs="Times New Roman"/>
                <w:color w:val="auto"/>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售后服务及技术支持</w:t>
            </w:r>
          </w:p>
        </w:tc>
        <w:tc>
          <w:tcPr>
            <w:tcW w:w="567" w:type="dxa"/>
            <w:vAlign w:val="center"/>
          </w:tcPr>
          <w:p>
            <w:pPr>
              <w:spacing w:line="38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4668" w:type="dxa"/>
            <w:vAlign w:val="center"/>
          </w:tcPr>
          <w:p>
            <w:pPr>
              <w:adjustRightInd w:val="0"/>
              <w:snapToGrid w:val="0"/>
              <w:spacing w:line="276" w:lineRule="auto"/>
              <w:rPr>
                <w:rFonts w:ascii="Times New Roman" w:hAnsi="Times New Roman" w:eastAsia="宋体" w:cs="Times New Roman"/>
                <w:color w:val="auto"/>
                <w:szCs w:val="21"/>
              </w:rPr>
            </w:pPr>
            <w:r>
              <w:rPr>
                <w:rFonts w:ascii="Times New Roman" w:hAnsi="Times New Roman" w:eastAsia="宋体" w:cs="Times New Roman"/>
                <w:color w:val="auto"/>
                <w:szCs w:val="21"/>
              </w:rPr>
              <w:t>满足询</w:t>
            </w:r>
            <w:r>
              <w:rPr>
                <w:rFonts w:hint="eastAsia" w:ascii="Times New Roman" w:hAnsi="Times New Roman" w:eastAsia="宋体" w:cs="Times New Roman"/>
                <w:color w:val="auto"/>
                <w:szCs w:val="21"/>
              </w:rPr>
              <w:t>比</w:t>
            </w:r>
            <w:r>
              <w:rPr>
                <w:rFonts w:ascii="Times New Roman" w:hAnsi="Times New Roman" w:eastAsia="宋体" w:cs="Times New Roman"/>
                <w:color w:val="auto"/>
                <w:szCs w:val="21"/>
              </w:rPr>
              <w:t>文件基本要求的得基本分</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r>
              <w:rPr>
                <w:rFonts w:hint="eastAsia" w:ascii="Times New Roman" w:hAnsi="Times New Roman" w:eastAsia="宋体" w:cs="Times New Roman"/>
                <w:color w:val="auto"/>
                <w:szCs w:val="21"/>
              </w:rPr>
              <w:t>评审小组</w:t>
            </w:r>
            <w:r>
              <w:rPr>
                <w:rFonts w:ascii="Times New Roman" w:hAnsi="Times New Roman" w:eastAsia="宋体" w:cs="Times New Roman"/>
                <w:color w:val="auto"/>
                <w:szCs w:val="21"/>
              </w:rPr>
              <w:t>综合比较报价人售后服务</w:t>
            </w:r>
            <w:r>
              <w:rPr>
                <w:rFonts w:hint="eastAsia" w:ascii="Times New Roman" w:hAnsi="Times New Roman" w:eastAsia="宋体" w:cs="Times New Roman"/>
                <w:color w:val="auto"/>
                <w:szCs w:val="21"/>
              </w:rPr>
              <w:t>便利性</w:t>
            </w:r>
            <w:r>
              <w:rPr>
                <w:rFonts w:ascii="Times New Roman" w:hAnsi="Times New Roman" w:eastAsia="宋体" w:cs="Times New Roman"/>
                <w:color w:val="auto"/>
                <w:szCs w:val="21"/>
              </w:rPr>
              <w:t>及培训、现场指导等技术支持方案的完备程度等因素加0—</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p>
        </w:tc>
        <w:tc>
          <w:tcPr>
            <w:tcW w:w="825" w:type="dxa"/>
            <w:vAlign w:val="center"/>
          </w:tcPr>
          <w:p>
            <w:pPr>
              <w:spacing w:line="38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评审价</w:t>
            </w:r>
          </w:p>
          <w:p>
            <w:pPr>
              <w:spacing w:line="380" w:lineRule="atLeast"/>
              <w:jc w:val="center"/>
              <w:rPr>
                <w:rFonts w:ascii="Times New Roman" w:hAnsi="Times New Roman" w:eastAsia="宋体" w:cs="Times New Roman"/>
                <w:color w:val="auto"/>
                <w:szCs w:val="21"/>
              </w:rPr>
            </w:pPr>
          </w:p>
        </w:tc>
        <w:tc>
          <w:tcPr>
            <w:tcW w:w="850" w:type="dxa"/>
            <w:vAlign w:val="center"/>
          </w:tcPr>
          <w:p>
            <w:pPr>
              <w:spacing w:line="380" w:lineRule="atLeast"/>
              <w:jc w:val="right"/>
              <w:rPr>
                <w:rFonts w:ascii="Times New Roman" w:hAnsi="Times New Roman" w:eastAsia="宋体" w:cs="Times New Roman"/>
                <w:color w:val="auto"/>
                <w:szCs w:val="21"/>
              </w:rPr>
            </w:pPr>
            <w:r>
              <w:rPr>
                <w:rFonts w:hint="eastAsia" w:ascii="Times New Roman" w:hAnsi="Times New Roman" w:eastAsia="宋体" w:cs="Times New Roman"/>
                <w:color w:val="auto"/>
                <w:szCs w:val="21"/>
                <w:u w:val="single"/>
              </w:rPr>
              <w:t>60</w:t>
            </w:r>
            <w:r>
              <w:rPr>
                <w:rFonts w:ascii="Times New Roman" w:hAnsi="Times New Roman" w:eastAsia="宋体" w:cs="Times New Roman"/>
                <w:color w:val="auto"/>
                <w:szCs w:val="21"/>
              </w:rPr>
              <w:t>分</w:t>
            </w:r>
          </w:p>
        </w:tc>
        <w:tc>
          <w:tcPr>
            <w:tcW w:w="6369" w:type="dxa"/>
            <w:gridSpan w:val="3"/>
            <w:shd w:val="clear" w:color="auto" w:fill="auto"/>
          </w:tcPr>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评审价得分计算公式示例：</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（1）如果供应商的评审价&gt;评审基准价，则评审价得分＝F－偏差率×100× 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（2）如果供应商的评审价≤评审基准价，则评审价得分＝F＋偏差率× 100× E</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w:t>
            </w:r>
          </w:p>
          <w:p>
            <w:pPr>
              <w:spacing w:line="38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其中：F是评审价所占的权重分值，F</w:t>
            </w:r>
            <w:r>
              <w:rPr>
                <w:rFonts w:hint="eastAsia" w:ascii="Times New Roman" w:hAnsi="Times New Roman" w:eastAsia="宋体" w:cs="Times New Roman"/>
                <w:color w:val="auto"/>
                <w:szCs w:val="21"/>
              </w:rPr>
              <w:t>=60，</w:t>
            </w:r>
            <w:r>
              <w:rPr>
                <w:rFonts w:ascii="Times New Roman" w:hAnsi="Times New Roman" w:eastAsia="宋体" w:cs="Times New Roman"/>
                <w:color w:val="auto"/>
                <w:szCs w:val="21"/>
              </w:rPr>
              <w:t>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是评审价每高于评审基准价一个百分点的扣分值，E</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是评审价每低于评审基准价一个百分点的扣分值； E</w:t>
            </w:r>
            <w:r>
              <w:rPr>
                <w:rFonts w:ascii="Times New Roman" w:hAnsi="Times New Roman" w:eastAsia="宋体" w:cs="Times New Roman"/>
                <w:color w:val="auto"/>
                <w:szCs w:val="21"/>
                <w:vertAlign w:val="subscript"/>
              </w:rPr>
              <w:t>1</w:t>
            </w:r>
            <w:r>
              <w:rPr>
                <w:rFonts w:hint="eastAsia" w:ascii="Times New Roman" w:hAnsi="Times New Roman" w:eastAsia="宋体" w:cs="Times New Roman"/>
                <w:color w:val="auto"/>
                <w:szCs w:val="21"/>
              </w:rPr>
              <w:t>=0.2</w:t>
            </w:r>
            <w:r>
              <w:rPr>
                <w:rFonts w:ascii="Times New Roman" w:hAnsi="Times New Roman" w:eastAsia="宋体" w:cs="Times New Roman"/>
                <w:color w:val="auto"/>
                <w:szCs w:val="21"/>
              </w:rPr>
              <w:t>、E</w:t>
            </w:r>
            <w:r>
              <w:rPr>
                <w:rFonts w:ascii="Times New Roman" w:hAnsi="Times New Roman" w:eastAsia="宋体" w:cs="Times New Roman"/>
                <w:color w:val="auto"/>
                <w:szCs w:val="21"/>
                <w:vertAlign w:val="subscript"/>
              </w:rPr>
              <w:t>2</w:t>
            </w:r>
            <w:r>
              <w:rPr>
                <w:rFonts w:hint="eastAsia" w:ascii="Times New Roman" w:hAnsi="Times New Roman" w:eastAsia="宋体" w:cs="Times New Roman"/>
                <w:color w:val="auto"/>
                <w:szCs w:val="21"/>
              </w:rPr>
              <w:t>=0.1</w:t>
            </w:r>
            <w:r>
              <w:rPr>
                <w:rFonts w:ascii="Times New Roman" w:hAnsi="Times New Roman" w:eastAsia="宋体" w:cs="Times New Roman"/>
                <w:color w:val="auto"/>
                <w:szCs w:val="21"/>
              </w:rPr>
              <w:t>，但E</w:t>
            </w:r>
            <w:r>
              <w:rPr>
                <w:rFonts w:ascii="Times New Roman" w:hAnsi="Times New Roman" w:eastAsia="宋体" w:cs="Times New Roman"/>
                <w:color w:val="auto"/>
                <w:szCs w:val="21"/>
                <w:vertAlign w:val="subscript"/>
              </w:rPr>
              <w:t>1</w:t>
            </w:r>
            <w:r>
              <w:rPr>
                <w:rFonts w:ascii="Times New Roman" w:hAnsi="Times New Roman" w:eastAsia="宋体" w:cs="Times New Roman"/>
                <w:color w:val="auto"/>
                <w:szCs w:val="21"/>
              </w:rPr>
              <w:t>应大于E</w:t>
            </w:r>
            <w:r>
              <w:rPr>
                <w:rFonts w:ascii="Times New Roman" w:hAnsi="Times New Roman" w:eastAsia="宋体" w:cs="Times New Roman"/>
                <w:color w:val="auto"/>
                <w:szCs w:val="21"/>
                <w:vertAlign w:val="subscript"/>
              </w:rPr>
              <w:t>2</w:t>
            </w:r>
            <w:r>
              <w:rPr>
                <w:rFonts w:hint="eastAsia" w:ascii="Times New Roman" w:hAnsi="Times New Roman" w:eastAsia="宋体" w:cs="Times New Roman"/>
                <w:color w:val="auto"/>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auto"/>
                <w:szCs w:val="21"/>
                <w:highlight w:val="green"/>
              </w:rPr>
            </w:pPr>
            <w:r>
              <w:rPr>
                <w:rFonts w:ascii="Times New Roman" w:hAnsi="Times New Roman" w:eastAsia="宋体" w:cs="Times New Roman"/>
                <w:color w:val="auto"/>
                <w:szCs w:val="21"/>
                <w:highlight w:val="green"/>
              </w:rPr>
              <w:t>需要补充的其他内容：</w:t>
            </w:r>
            <w:r>
              <w:rPr>
                <w:rFonts w:hint="eastAsia" w:ascii="Times New Roman" w:hAnsi="Times New Roman" w:eastAsia="宋体" w:cs="Times New Roman"/>
                <w:color w:val="auto"/>
                <w:szCs w:val="21"/>
                <w:highlight w:val="green"/>
                <w:lang w:eastAsia="zh-CN"/>
              </w:rPr>
              <w:t>首页需加索引，</w:t>
            </w:r>
            <w:r>
              <w:rPr>
                <w:rFonts w:hint="eastAsia" w:ascii="Times New Roman" w:hAnsi="Times New Roman" w:eastAsia="宋体" w:cs="Times New Roman"/>
                <w:color w:val="auto"/>
                <w:szCs w:val="21"/>
                <w:highlight w:val="green"/>
              </w:rPr>
              <w:t>响应技术性能需后注页码以便查阅！</w:t>
            </w:r>
          </w:p>
          <w:p>
            <w:pPr>
              <w:spacing w:line="36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bl>
    <w:p>
      <w:pPr>
        <w:widowControl/>
        <w:jc w:val="left"/>
        <w:rPr>
          <w:rFonts w:ascii="Times New Roman" w:hAnsi="Times New Roman" w:eastAsia="宋体" w:cs="Times New Roman"/>
          <w:color w:val="FF0000"/>
          <w:szCs w:val="21"/>
        </w:rPr>
      </w:pPr>
    </w:p>
    <w:p>
      <w:pPr>
        <w:widowControl/>
        <w:jc w:val="left"/>
        <w:rPr>
          <w:rFonts w:ascii="Times New Roman" w:hAnsi="Times New Roman" w:eastAsia="宋体" w:cs="Times New Roman"/>
          <w:szCs w:val="21"/>
        </w:rPr>
      </w:pPr>
      <w:r>
        <w:rPr>
          <w:rFonts w:ascii="Times New Roman" w:hAnsi="Times New Roman" w:eastAsia="黑体" w:cs="Times New Roman"/>
          <w:sz w:val="29"/>
          <w:szCs w:val="29"/>
        </w:rPr>
        <w:br w:type="page"/>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w:t>
      </w:r>
      <w:r>
        <w:rPr>
          <w:rFonts w:hint="eastAsia" w:asciiTheme="minorEastAsia" w:hAnsiTheme="minorEastAsia" w:cstheme="minorEastAsia"/>
          <w:szCs w:val="21"/>
          <w:highlight w:val="green"/>
          <w:lang w:eastAsia="zh-CN"/>
        </w:rPr>
        <w:t>无息</w:t>
      </w:r>
      <w:r>
        <w:rPr>
          <w:rFonts w:hint="eastAsia" w:asciiTheme="minorEastAsia" w:hAnsiTheme="minorEastAsia" w:cstheme="minorEastAsia"/>
          <w:szCs w:val="21"/>
          <w:highlight w:val="green"/>
        </w:rPr>
        <w:t>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rPr>
          <w:rFonts w:ascii="Times New Roman" w:hAnsi="Times New Roman" w:eastAsia="宋体" w:cs="Times New Roman"/>
        </w:rPr>
      </w:pPr>
      <w:bookmarkStart w:id="79" w:name="_Toc21707_WPSOffice_Level1"/>
      <w:r>
        <w:rPr>
          <w:rFonts w:ascii="Times New Roman" w:hAnsi="Times New Roman" w:eastAsia="宋体" w:cs="Times New Roman"/>
        </w:rPr>
        <w:t>采购需求及清单</w:t>
      </w:r>
      <w:bookmarkEnd w:id="79"/>
    </w:p>
    <w:tbl>
      <w:tblPr>
        <w:tblStyle w:val="13"/>
        <w:tblW w:w="8255" w:type="dxa"/>
        <w:jc w:val="center"/>
        <w:shd w:val="clear" w:color="auto" w:fill="FFFFFF"/>
        <w:tblLayout w:type="autofit"/>
        <w:tblCellMar>
          <w:top w:w="0" w:type="dxa"/>
          <w:left w:w="0" w:type="dxa"/>
          <w:bottom w:w="0" w:type="dxa"/>
          <w:right w:w="0" w:type="dxa"/>
        </w:tblCellMar>
      </w:tblPr>
      <w:tblGrid>
        <w:gridCol w:w="817"/>
        <w:gridCol w:w="2349"/>
        <w:gridCol w:w="5089"/>
      </w:tblGrid>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pacing w:val="15"/>
                <w:sz w:val="21"/>
                <w:szCs w:val="21"/>
              </w:rPr>
              <w:t>序号</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pacing w:val="15"/>
                <w:sz w:val="21"/>
                <w:szCs w:val="21"/>
              </w:rPr>
              <w:t>项目</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jc w:val="center"/>
              <w:rPr>
                <w:color w:val="auto"/>
              </w:rPr>
            </w:pPr>
            <w:r>
              <w:rPr>
                <w:rStyle w:val="16"/>
                <w:rFonts w:hint="eastAsia" w:ascii="宋体" w:hAnsi="宋体" w:eastAsia="宋体" w:cs="宋体"/>
                <w:color w:val="auto"/>
                <w:sz w:val="19"/>
                <w:szCs w:val="19"/>
              </w:rPr>
              <w:t>买方技术参数要求</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一</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*供货范围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80" w:lineRule="atLeast"/>
              <w:rPr>
                <w:rFonts w:hint="eastAsia" w:eastAsia="宋体"/>
                <w:color w:val="auto"/>
                <w:lang w:eastAsia="zh-CN"/>
              </w:rPr>
            </w:pPr>
            <w:r>
              <w:rPr>
                <w:rFonts w:hint="eastAsia" w:ascii="宋体" w:hAnsi="宋体" w:eastAsia="宋体" w:cs="宋体"/>
                <w:color w:val="auto"/>
                <w:sz w:val="18"/>
                <w:szCs w:val="18"/>
              </w:rPr>
              <w:t>主车、专用工具、相关配件、运输和保险及验收、相关技术服务、上牌、交相关税费、上保险</w:t>
            </w:r>
            <w:r>
              <w:rPr>
                <w:rFonts w:hint="eastAsia" w:ascii="宋体" w:hAnsi="宋体" w:eastAsia="宋体" w:cs="宋体"/>
                <w:color w:val="auto"/>
                <w:sz w:val="18"/>
                <w:szCs w:val="18"/>
                <w:lang w:eastAsia="zh-CN"/>
              </w:rPr>
              <w:t>、车辆购置税。</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二</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主要技术参数</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微软雅黑"/>
                <w:color w:val="auto"/>
                <w:szCs w:val="21"/>
              </w:rPr>
            </w:pPr>
          </w:p>
        </w:tc>
      </w:tr>
      <w:tr>
        <w:tblPrEx>
          <w:shd w:val="clear" w:color="auto" w:fill="FFFFFF"/>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底盘机构:</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底盘型号</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lang w:val="en-US" w:eastAsia="zh-CN"/>
              </w:rPr>
              <w:t>DFV1123GP6DJ.DFH1160EX8</w:t>
            </w:r>
            <w:r>
              <w:rPr>
                <w:rFonts w:hint="eastAsia" w:ascii="宋体" w:hAnsi="宋体" w:eastAsia="宋体" w:cs="宋体"/>
                <w:color w:val="auto"/>
                <w:sz w:val="18"/>
                <w:szCs w:val="18"/>
              </w:rPr>
              <w:t>二类底盘或更优</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*底盘发动机功率（KW)</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底盘发动机功率（KW):≥</w:t>
            </w:r>
            <w:r>
              <w:rPr>
                <w:rFonts w:ascii="宋体" w:hAnsi="宋体" w:eastAsia="宋体" w:cs="宋体"/>
                <w:color w:val="auto"/>
                <w:sz w:val="18"/>
                <w:szCs w:val="18"/>
              </w:rPr>
              <w:t>154</w:t>
            </w:r>
            <w:r>
              <w:rPr>
                <w:rFonts w:hint="eastAsia" w:ascii="宋体" w:hAnsi="宋体" w:eastAsia="宋体" w:cs="宋体"/>
                <w:color w:val="auto"/>
                <w:sz w:val="18"/>
                <w:szCs w:val="18"/>
              </w:rPr>
              <w:t>，排放标准国六或更优</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*发动机气缸数</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直列六缸</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*最大总质量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8000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*驱动形式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驱动形式为≥4×2</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*变速箱挡位</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≥8个</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最高车速</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（KM/h)≥</w:t>
            </w:r>
            <w:r>
              <w:rPr>
                <w:rFonts w:ascii="宋体" w:hAnsi="宋体" w:eastAsia="宋体" w:cs="宋体"/>
                <w:color w:val="auto"/>
                <w:sz w:val="18"/>
                <w:szCs w:val="18"/>
              </w:rPr>
              <w:t>89</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*轮胎规格</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ind w:firstLine="900" w:firstLineChars="500"/>
              <w:jc w:val="both"/>
              <w:rPr>
                <w:color w:val="auto"/>
              </w:rPr>
            </w:pPr>
            <w:r>
              <w:rPr>
                <w:rFonts w:ascii="宋体" w:hAnsi="宋体" w:eastAsia="宋体" w:cs="宋体"/>
                <w:color w:val="auto"/>
                <w:sz w:val="18"/>
                <w:szCs w:val="18"/>
              </w:rPr>
              <w:t>10.00</w:t>
            </w:r>
            <w:r>
              <w:rPr>
                <w:rFonts w:hint="eastAsia" w:ascii="宋体" w:hAnsi="宋体" w:eastAsia="宋体" w:cs="宋体"/>
                <w:color w:val="auto"/>
                <w:sz w:val="18"/>
                <w:szCs w:val="18"/>
              </w:rPr>
              <w:t>R20 1</w:t>
            </w:r>
            <w:r>
              <w:rPr>
                <w:rFonts w:ascii="宋体" w:hAnsi="宋体" w:eastAsia="宋体" w:cs="宋体"/>
                <w:color w:val="auto"/>
                <w:sz w:val="18"/>
                <w:szCs w:val="18"/>
              </w:rPr>
              <w:t>8</w:t>
            </w:r>
            <w:r>
              <w:rPr>
                <w:rFonts w:hint="eastAsia" w:ascii="宋体" w:hAnsi="宋体" w:eastAsia="宋体" w:cs="宋体"/>
                <w:color w:val="auto"/>
                <w:sz w:val="18"/>
                <w:szCs w:val="18"/>
              </w:rPr>
              <w:t>PR或更优，备胎1个</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外廓尺寸</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ind w:firstLine="900" w:firstLineChars="500"/>
              <w:rPr>
                <w:color w:val="auto"/>
              </w:rPr>
            </w:pPr>
            <w:r>
              <w:rPr>
                <w:rFonts w:hint="eastAsia" w:ascii="宋体" w:hAnsi="宋体" w:eastAsia="宋体" w:cs="宋体"/>
                <w:color w:val="auto"/>
                <w:sz w:val="18"/>
                <w:szCs w:val="18"/>
              </w:rPr>
              <w:t>长×宽×高（mm）：≥9680×2</w:t>
            </w:r>
            <w:r>
              <w:rPr>
                <w:rFonts w:ascii="宋体" w:hAnsi="宋体" w:eastAsia="宋体" w:cs="宋体"/>
                <w:color w:val="auto"/>
                <w:sz w:val="18"/>
                <w:szCs w:val="18"/>
              </w:rPr>
              <w:t>55</w:t>
            </w:r>
            <w:r>
              <w:rPr>
                <w:rFonts w:hint="eastAsia" w:ascii="宋体" w:hAnsi="宋体" w:eastAsia="宋体" w:cs="宋体"/>
                <w:color w:val="auto"/>
                <w:sz w:val="18"/>
                <w:szCs w:val="18"/>
              </w:rPr>
              <w:t>0×3</w:t>
            </w:r>
            <w:r>
              <w:rPr>
                <w:rFonts w:ascii="宋体" w:hAnsi="宋体" w:eastAsia="宋体" w:cs="宋体"/>
                <w:color w:val="auto"/>
                <w:sz w:val="18"/>
                <w:szCs w:val="18"/>
              </w:rPr>
              <w:t>600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*轴距（mm）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≥5000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最小离地间隙（mm）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95</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前悬/后悬（mm）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≥1430/3225</w:t>
            </w:r>
          </w:p>
        </w:tc>
      </w:tr>
      <w:tr>
        <w:tblPrEx>
          <w:shd w:val="clear" w:color="auto" w:fill="FFFFFF"/>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随车起重机:</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上装形式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直臂随车吊+平板的组合上装</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*最大工作幅度（m）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w:t>
            </w:r>
            <w:r>
              <w:rPr>
                <w:rFonts w:ascii="宋体" w:hAnsi="宋体" w:eastAsia="宋体" w:cs="宋体"/>
                <w:color w:val="auto"/>
                <w:sz w:val="18"/>
                <w:szCs w:val="18"/>
              </w:rPr>
              <w:t>11</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*全伸出最大起吊质量(水平状况时)（kg）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最大起吊高度（mm）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≥12</w:t>
            </w:r>
            <w:r>
              <w:rPr>
                <w:rFonts w:ascii="宋体" w:hAnsi="宋体" w:eastAsia="宋体" w:cs="宋体"/>
                <w:color w:val="auto"/>
                <w:sz w:val="18"/>
                <w:szCs w:val="18"/>
              </w:rPr>
              <w:t>8</w:t>
            </w:r>
            <w:r>
              <w:rPr>
                <w:rFonts w:hint="eastAsia" w:ascii="宋体" w:hAnsi="宋体" w:eastAsia="宋体" w:cs="宋体"/>
                <w:color w:val="auto"/>
                <w:sz w:val="18"/>
                <w:szCs w:val="18"/>
              </w:rPr>
              <w:t>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吊臂最大变幅角度（°）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ascii="宋体" w:hAnsi="宋体" w:eastAsia="宋体" w:cs="宋体"/>
                <w:color w:val="auto"/>
                <w:sz w:val="18"/>
                <w:szCs w:val="18"/>
              </w:rPr>
            </w:pPr>
            <w:r>
              <w:rPr>
                <w:rFonts w:hint="eastAsia" w:ascii="宋体" w:hAnsi="宋体" w:eastAsia="宋体" w:cs="宋体"/>
                <w:color w:val="auto"/>
                <w:sz w:val="18"/>
                <w:szCs w:val="18"/>
              </w:rPr>
              <w:t>7</w:t>
            </w:r>
            <w:r>
              <w:rPr>
                <w:rFonts w:ascii="宋体" w:hAnsi="宋体" w:eastAsia="宋体" w:cs="宋体"/>
                <w:color w:val="auto"/>
                <w:sz w:val="18"/>
                <w:szCs w:val="18"/>
              </w:rPr>
              <w:t>5</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*吊臂节数/吊臂基本长度（mm）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≥4/4</w:t>
            </w:r>
            <w:r>
              <w:rPr>
                <w:rFonts w:ascii="宋体" w:hAnsi="宋体" w:eastAsia="宋体" w:cs="宋体"/>
                <w:color w:val="auto"/>
                <w:sz w:val="18"/>
                <w:szCs w:val="18"/>
              </w:rPr>
              <w:t>140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19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 吊臂回转范围（°）</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ascii="宋体" w:hAnsi="宋体" w:eastAsia="宋体" w:cs="宋体"/>
                <w:color w:val="auto"/>
                <w:sz w:val="18"/>
                <w:szCs w:val="18"/>
              </w:rPr>
              <w:t>360</w:t>
            </w:r>
            <w:r>
              <w:rPr>
                <w:rFonts w:hint="eastAsia" w:ascii="宋体" w:hAnsi="宋体" w:eastAsia="宋体" w:cs="宋体"/>
                <w:color w:val="auto"/>
                <w:sz w:val="18"/>
                <w:szCs w:val="18"/>
              </w:rPr>
              <w:t>°全回转</w:t>
            </w:r>
          </w:p>
        </w:tc>
      </w:tr>
      <w:tr>
        <w:tblPrEx>
          <w:shd w:val="clear" w:color="auto" w:fill="FFFFFF"/>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拖牵系统：</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*最大拖牵质量（kg）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w:t>
            </w:r>
            <w:r>
              <w:rPr>
                <w:rFonts w:ascii="宋体" w:hAnsi="宋体" w:eastAsia="宋体" w:cs="宋体"/>
                <w:color w:val="auto"/>
                <w:sz w:val="18"/>
                <w:szCs w:val="18"/>
              </w:rPr>
              <w:t>180</w:t>
            </w:r>
            <w:r>
              <w:rPr>
                <w:rFonts w:hint="eastAsia" w:ascii="宋体" w:hAnsi="宋体" w:eastAsia="宋体" w:cs="宋体"/>
                <w:color w:val="auto"/>
                <w:sz w:val="18"/>
                <w:szCs w:val="18"/>
              </w:rPr>
              <w:t>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6350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全伸出最大拖举质量（kg）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4150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托臂伸缩行程（mm）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1800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21</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折叠角度（°）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12</w:t>
            </w:r>
          </w:p>
        </w:tc>
      </w:tr>
      <w:tr>
        <w:tblPrEx>
          <w:shd w:val="clear" w:color="auto" w:fill="FFFFFF"/>
          <w:tblCellMar>
            <w:top w:w="0" w:type="dxa"/>
            <w:left w:w="0" w:type="dxa"/>
            <w:bottom w:w="0" w:type="dxa"/>
            <w:right w:w="0" w:type="dxa"/>
          </w:tblCellMar>
        </w:tblPrEx>
        <w:trPr>
          <w:jc w:val="center"/>
        </w:trPr>
        <w:tc>
          <w:tcPr>
            <w:tcW w:w="825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平板机构：</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22</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*最大承载质量（kg）</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8000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23</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*长×宽（mm）（外框）</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≥6</w:t>
            </w:r>
            <w:r>
              <w:rPr>
                <w:rFonts w:ascii="宋体" w:hAnsi="宋体" w:eastAsia="宋体" w:cs="宋体"/>
                <w:color w:val="auto"/>
                <w:sz w:val="18"/>
                <w:szCs w:val="18"/>
              </w:rPr>
              <w:t>48</w:t>
            </w:r>
            <w:r>
              <w:rPr>
                <w:rFonts w:hint="eastAsia" w:ascii="宋体" w:hAnsi="宋体" w:eastAsia="宋体" w:cs="宋体"/>
                <w:color w:val="auto"/>
                <w:sz w:val="18"/>
                <w:szCs w:val="18"/>
              </w:rPr>
              <w:t>0×2</w:t>
            </w:r>
            <w:r>
              <w:rPr>
                <w:rFonts w:ascii="宋体" w:hAnsi="宋体" w:eastAsia="宋体" w:cs="宋体"/>
                <w:color w:val="auto"/>
                <w:sz w:val="18"/>
                <w:szCs w:val="18"/>
              </w:rPr>
              <w:t>52</w:t>
            </w:r>
            <w:r>
              <w:rPr>
                <w:rFonts w:hint="eastAsia" w:ascii="宋体" w:hAnsi="宋体" w:eastAsia="宋体" w:cs="宋体"/>
                <w:color w:val="auto"/>
                <w:sz w:val="18"/>
                <w:szCs w:val="18"/>
              </w:rPr>
              <w:t>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24</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平板最小倾斜角（°）</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25</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绞盘数量</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≥1</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26</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绞盘额定牵引力（kN）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default" w:eastAsia="宋体"/>
                <w:color w:val="auto"/>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27</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钢丝绳长度（m)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≥25</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28</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钢丝绳直径（mm)</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rFonts w:hint="eastAsia" w:eastAsia="宋体"/>
                <w:color w:val="auto"/>
                <w:lang w:val="en-US" w:eastAsia="zh-CN"/>
              </w:rPr>
            </w:pPr>
            <w:r>
              <w:rPr>
                <w:rFonts w:hint="eastAsia" w:ascii="宋体" w:hAnsi="宋体" w:eastAsia="宋体" w:cs="宋体"/>
                <w:color w:val="auto"/>
                <w:sz w:val="18"/>
                <w:szCs w:val="18"/>
              </w:rPr>
              <w:t>φ≥1</w:t>
            </w:r>
            <w:r>
              <w:rPr>
                <w:rFonts w:hint="eastAsia" w:ascii="宋体" w:hAnsi="宋体" w:eastAsia="宋体" w:cs="宋体"/>
                <w:color w:val="auto"/>
                <w:sz w:val="18"/>
                <w:szCs w:val="18"/>
                <w:lang w:val="en-US" w:eastAsia="zh-CN"/>
              </w:rPr>
              <w:t>2</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29</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钢丝绳最小线速度（m/min）</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5</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30</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240" w:lineRule="atLeast"/>
              <w:rPr>
                <w:color w:val="auto"/>
              </w:rPr>
            </w:pPr>
            <w:r>
              <w:rPr>
                <w:rFonts w:hint="eastAsia" w:ascii="宋体" w:hAnsi="宋体" w:eastAsia="宋体" w:cs="宋体"/>
                <w:color w:val="auto"/>
                <w:sz w:val="18"/>
                <w:szCs w:val="18"/>
              </w:rPr>
              <w:t>*配件（每辆车）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95" w:lineRule="atLeast"/>
              <w:rPr>
                <w:color w:val="auto"/>
              </w:rPr>
            </w:pPr>
            <w:r>
              <w:rPr>
                <w:rFonts w:hint="eastAsia" w:ascii="宋体" w:hAnsi="宋体" w:eastAsia="宋体" w:cs="宋体"/>
                <w:color w:val="auto"/>
                <w:sz w:val="18"/>
                <w:szCs w:val="18"/>
              </w:rPr>
              <w:t>1.托叉座一对；2.托叉（大小）共两对；3.托车抱胎机构一对；</w:t>
            </w:r>
            <w:r>
              <w:rPr>
                <w:rFonts w:hint="eastAsia" w:ascii="宋体" w:hAnsi="宋体" w:eastAsia="宋体" w:cs="宋体"/>
                <w:color w:val="auto"/>
                <w:sz w:val="18"/>
                <w:szCs w:val="18"/>
                <w:lang w:val="en-US" w:eastAsia="zh-CN"/>
              </w:rPr>
              <w:t>4、链带总成共7套；5、星际LED红黄蓝灯；6、辅助轮两对；7、限位器、8、双工具箱、9、三层滑轮座、10、松紧带四套、11、链条吊索一套、12</w:t>
            </w:r>
            <w:r>
              <w:rPr>
                <w:rFonts w:hint="eastAsia" w:ascii="宋体" w:hAnsi="宋体" w:eastAsia="宋体" w:cs="宋体"/>
                <w:color w:val="auto"/>
                <w:sz w:val="18"/>
                <w:szCs w:val="18"/>
              </w:rPr>
              <w:t>.平板遥控器1套；</w:t>
            </w: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.倒车后视屏；</w:t>
            </w: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.不锈钢洗涤水箱；</w:t>
            </w: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撬棍一根；</w:t>
            </w: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.绑带6条；1</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、H型吊架1套；1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.索具（两端带羊角抓钩）一套；</w:t>
            </w:r>
            <w:r>
              <w:rPr>
                <w:rFonts w:hint="eastAsia" w:ascii="宋体" w:hAnsi="宋体" w:eastAsia="宋体" w:cs="宋体"/>
                <w:color w:val="auto"/>
                <w:sz w:val="18"/>
                <w:szCs w:val="18"/>
                <w:lang w:val="en-US" w:eastAsia="zh-CN"/>
              </w:rPr>
              <w:t>19</w:t>
            </w:r>
            <w:r>
              <w:rPr>
                <w:rFonts w:hint="eastAsia" w:ascii="宋体" w:hAnsi="宋体" w:eastAsia="宋体" w:cs="宋体"/>
                <w:color w:val="auto"/>
                <w:sz w:val="18"/>
                <w:szCs w:val="18"/>
              </w:rPr>
              <w:t>.销轴一套；</w:t>
            </w:r>
            <w:bookmarkStart w:id="152" w:name="_GoBack"/>
            <w:bookmarkEnd w:id="152"/>
            <w:r>
              <w:rPr>
                <w:rFonts w:hint="eastAsia" w:ascii="宋体" w:hAnsi="宋体" w:eastAsia="宋体" w:cs="宋体"/>
                <w:color w:val="auto"/>
                <w:sz w:val="18"/>
                <w:szCs w:val="18"/>
                <w:lang w:val="en-US" w:eastAsia="zh-CN"/>
              </w:rPr>
              <w:t>20</w:t>
            </w:r>
            <w:r>
              <w:rPr>
                <w:rFonts w:hint="eastAsia" w:ascii="宋体" w:hAnsi="宋体" w:eastAsia="宋体" w:cs="宋体"/>
                <w:color w:val="auto"/>
                <w:sz w:val="18"/>
                <w:szCs w:val="18"/>
              </w:rPr>
              <w:t>.轮胎挡块四件。</w:t>
            </w:r>
          </w:p>
        </w:tc>
      </w:tr>
      <w:tr>
        <w:tblPrEx>
          <w:shd w:val="clear" w:color="auto" w:fill="FFFFFF"/>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jc w:val="center"/>
              <w:rPr>
                <w:color w:val="auto"/>
              </w:rPr>
            </w:pPr>
            <w:r>
              <w:rPr>
                <w:rFonts w:hint="eastAsia" w:ascii="宋体" w:hAnsi="宋体" w:eastAsia="宋体" w:cs="宋体"/>
                <w:color w:val="auto"/>
                <w:sz w:val="18"/>
                <w:szCs w:val="18"/>
              </w:rPr>
              <w:t>三</w:t>
            </w:r>
          </w:p>
        </w:tc>
        <w:tc>
          <w:tcPr>
            <w:tcW w:w="23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rPr>
                <w:color w:val="auto"/>
              </w:rPr>
            </w:pPr>
            <w:r>
              <w:rPr>
                <w:rFonts w:hint="eastAsia" w:ascii="宋体" w:hAnsi="宋体" w:eastAsia="宋体" w:cs="宋体"/>
                <w:color w:val="auto"/>
                <w:sz w:val="18"/>
                <w:szCs w:val="18"/>
              </w:rPr>
              <w:t>其他要求（每辆车）</w:t>
            </w:r>
          </w:p>
        </w:tc>
        <w:tc>
          <w:tcPr>
            <w:tcW w:w="50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widowControl/>
              <w:spacing w:beforeAutospacing="0" w:afterAutospacing="0" w:line="195" w:lineRule="atLeast"/>
              <w:rPr>
                <w:color w:val="auto"/>
              </w:rPr>
            </w:pPr>
            <w:r>
              <w:rPr>
                <w:rFonts w:hint="eastAsia" w:ascii="宋体" w:hAnsi="宋体" w:eastAsia="宋体" w:cs="宋体"/>
                <w:color w:val="auto"/>
                <w:sz w:val="18"/>
                <w:szCs w:val="18"/>
              </w:rPr>
              <w:t>车身颜色为工程黄色，车身采用整体式、全钢、防锈、抗扭、加固车身；须安装晚间工作时的车后双向灯和车顶LED红黄蓝三色警报灯，警报器功率不低于120瓦，</w:t>
            </w:r>
            <w:r>
              <w:rPr>
                <w:rFonts w:hint="eastAsia" w:ascii="宋体" w:hAnsi="宋体" w:eastAsia="宋体" w:cs="宋体"/>
                <w:color w:val="auto"/>
                <w:sz w:val="18"/>
                <w:szCs w:val="18"/>
                <w:lang w:eastAsia="zh-CN"/>
              </w:rPr>
              <w:t>配模块工作舱，</w:t>
            </w:r>
            <w:r>
              <w:rPr>
                <w:rFonts w:hint="eastAsia" w:ascii="宋体" w:hAnsi="宋体" w:eastAsia="宋体" w:cs="宋体"/>
                <w:color w:val="auto"/>
                <w:sz w:val="18"/>
                <w:szCs w:val="18"/>
              </w:rPr>
              <w:t>装发电机、3米照明灯；驾驶室带空调、收音机、助力转向；倒车影像；上装采用电泳工艺；液压件选用知名品牌（详细说明产地及规格型号）；车辆配备GPS/北斗双模定位系统；安装标准车载视频平台，</w:t>
            </w:r>
            <w:r>
              <w:rPr>
                <w:rFonts w:hint="eastAsia" w:ascii="宋体" w:hAnsi="宋体" w:eastAsia="宋体" w:cs="宋体"/>
                <w:color w:val="auto"/>
                <w:sz w:val="18"/>
                <w:szCs w:val="18"/>
                <w:lang w:eastAsia="zh-CN"/>
              </w:rPr>
              <w:t>至少三个摄像头（车前、车尾、驾驶室）</w:t>
            </w:r>
            <w:r>
              <w:rPr>
                <w:rFonts w:hint="eastAsia" w:ascii="宋体" w:hAnsi="宋体" w:eastAsia="宋体" w:cs="宋体"/>
                <w:color w:val="auto"/>
                <w:sz w:val="18"/>
                <w:szCs w:val="18"/>
              </w:rPr>
              <w:t>提供实时调用接口。座位：≥2；带助力转向装置、随车简易车辆维修工具、轮胎装卸工具、10吨千斤顶等。</w:t>
            </w:r>
          </w:p>
        </w:tc>
      </w:tr>
    </w:tbl>
    <w:p/>
    <w:p>
      <w:pPr>
        <w:rPr>
          <w:rFonts w:ascii="Times New Roman" w:hAnsi="Times New Roman" w:eastAsia="宋体" w:cs="Times New Roman"/>
        </w:rPr>
      </w:pPr>
    </w:p>
    <w:p>
      <w:pPr>
        <w:rPr>
          <w:rFonts w:ascii="宋体" w:hAnsi="宋体" w:cs="宋体"/>
          <w:color w:val="auto"/>
        </w:rPr>
      </w:pPr>
      <w:r>
        <w:rPr>
          <w:rFonts w:hint="eastAsia" w:ascii="宋体" w:hAnsi="宋体" w:cs="宋体"/>
          <w:color w:val="auto"/>
        </w:rPr>
        <w:t>说明：1、发动机、变速箱、底盘、轮胎为关键构件；</w:t>
      </w:r>
    </w:p>
    <w:p>
      <w:pPr>
        <w:ind w:left="414" w:leftChars="197" w:firstLine="165" w:firstLineChars="79"/>
        <w:rPr>
          <w:rFonts w:ascii="宋体" w:hAnsi="宋体" w:cs="宋体"/>
          <w:color w:val="auto"/>
        </w:rPr>
      </w:pPr>
      <w:r>
        <w:rPr>
          <w:rFonts w:hint="eastAsia" w:ascii="宋体" w:hAnsi="宋体" w:cs="宋体"/>
          <w:color w:val="auto"/>
        </w:rPr>
        <w:t>2、所投产品中车辆应为经过国家行业主管部门认证的定型产品，且列入《中华人民共和国发改委车辆生产企业及产品公告》，产品具备国家3C认证和环保认证；</w:t>
      </w:r>
    </w:p>
    <w:p>
      <w:pPr>
        <w:pStyle w:val="2"/>
        <w:rPr>
          <w:color w:val="auto"/>
        </w:rPr>
      </w:pPr>
      <w:r>
        <w:rPr>
          <w:rFonts w:hint="eastAsia"/>
          <w:color w:val="auto"/>
          <w:szCs w:val="21"/>
        </w:rPr>
        <w:t>注：带*号技术参数必须完全满足.</w:t>
      </w:r>
      <w:r>
        <w:rPr>
          <w:rFonts w:hint="eastAsia" w:ascii="Times New Roman" w:hAnsi="Times New Roman" w:eastAsia="宋体" w:cs="Times New Roman"/>
          <w:color w:val="auto"/>
          <w:szCs w:val="21"/>
        </w:rPr>
        <w:t xml:space="preserve"> 每项技术参数响应应该标明技术支持的页码。</w:t>
      </w:r>
    </w:p>
    <w:p>
      <w:pPr>
        <w:pStyle w:val="4"/>
        <w:numPr>
          <w:ilvl w:val="0"/>
          <w:numId w:val="0"/>
        </w:numPr>
        <w:ind w:left="417"/>
        <w:rPr>
          <w:color w:val="auto"/>
        </w:rPr>
      </w:pPr>
      <w:r>
        <w:rPr>
          <w:rFonts w:hint="eastAsia"/>
          <w:color w:val="auto"/>
        </w:rPr>
        <w:t>1.基本要求</w:t>
      </w:r>
    </w:p>
    <w:p>
      <w:pPr>
        <w:numPr>
          <w:ilvl w:val="0"/>
          <w:numId w:val="4"/>
        </w:numPr>
        <w:spacing w:line="360" w:lineRule="auto"/>
        <w:rPr>
          <w:rFonts w:ascii="宋体"/>
          <w:color w:val="auto"/>
          <w:szCs w:val="21"/>
        </w:rPr>
      </w:pPr>
      <w:r>
        <w:rPr>
          <w:rFonts w:ascii="宋体" w:hAnsi="宋体"/>
          <w:color w:val="auto"/>
          <w:szCs w:val="21"/>
        </w:rPr>
        <w:t>1</w:t>
      </w:r>
      <w:r>
        <w:rPr>
          <w:rFonts w:hint="eastAsia" w:ascii="宋体" w:hAnsi="宋体"/>
          <w:color w:val="auto"/>
          <w:szCs w:val="21"/>
        </w:rPr>
        <w:t>、机械设计合理，制造工艺先进，安全装置齐全可靠。</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、部分总成件采用进口件或具有国际先进水平并提供书面证明。</w:t>
      </w:r>
    </w:p>
    <w:p>
      <w:pPr>
        <w:numPr>
          <w:ilvl w:val="1"/>
          <w:numId w:val="5"/>
        </w:numPr>
        <w:spacing w:line="360" w:lineRule="auto"/>
        <w:rPr>
          <w:rFonts w:ascii="宋体"/>
          <w:color w:val="auto"/>
          <w:szCs w:val="21"/>
        </w:rPr>
      </w:pPr>
      <w:r>
        <w:rPr>
          <w:rFonts w:ascii="宋体" w:hAnsi="宋体"/>
          <w:color w:val="auto"/>
          <w:szCs w:val="21"/>
        </w:rPr>
        <w:t>3</w:t>
      </w:r>
      <w:r>
        <w:rPr>
          <w:rFonts w:hint="eastAsia" w:ascii="宋体" w:hAnsi="宋体"/>
          <w:color w:val="auto"/>
          <w:szCs w:val="21"/>
        </w:rPr>
        <w:t>、操作灵便，可维护性强。</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、标准配置包括保证车辆设备正常工作所需的附件、工具和随机备件，并有装箱单。</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、随机配有车辆设备使用保养说明书、发动机保养说明书和零部件图册。</w:t>
      </w:r>
    </w:p>
    <w:p>
      <w:pPr>
        <w:spacing w:line="360" w:lineRule="auto"/>
        <w:ind w:left="42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、有可供用户和供应商双方操作的验收标准或条款。</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、所供车辆的漆面必须是原厂漆面、应清洁光亮；不得有脱漆、色差、划痕和瘪窝。</w:t>
      </w:r>
    </w:p>
    <w:p>
      <w:pPr>
        <w:numPr>
          <w:ilvl w:val="0"/>
          <w:numId w:val="6"/>
        </w:numPr>
        <w:spacing w:line="360" w:lineRule="auto"/>
        <w:rPr>
          <w:rFonts w:ascii="宋体"/>
          <w:color w:val="auto"/>
          <w:szCs w:val="21"/>
        </w:rPr>
      </w:pPr>
      <w:r>
        <w:rPr>
          <w:rFonts w:ascii="宋体" w:hAnsi="宋体"/>
          <w:color w:val="auto"/>
          <w:szCs w:val="21"/>
        </w:rPr>
        <w:t>8</w:t>
      </w:r>
      <w:r>
        <w:rPr>
          <w:rFonts w:hint="eastAsia" w:ascii="宋体" w:hAnsi="宋体"/>
          <w:color w:val="auto"/>
          <w:szCs w:val="21"/>
        </w:rPr>
        <w:t>、车辆内部的座椅及其他内饰件应完整清洁．不得有划伤、污点，使用时应方便灵活。</w:t>
      </w:r>
    </w:p>
    <w:p>
      <w:pPr>
        <w:numPr>
          <w:ilvl w:val="0"/>
          <w:numId w:val="7"/>
        </w:numPr>
        <w:spacing w:line="360" w:lineRule="auto"/>
        <w:rPr>
          <w:rFonts w:ascii="宋体"/>
          <w:color w:val="auto"/>
          <w:szCs w:val="21"/>
        </w:rPr>
      </w:pPr>
      <w:r>
        <w:rPr>
          <w:rFonts w:ascii="宋体" w:hAnsi="宋体"/>
          <w:color w:val="auto"/>
          <w:szCs w:val="21"/>
        </w:rPr>
        <w:t>9</w:t>
      </w:r>
      <w:r>
        <w:rPr>
          <w:rFonts w:hint="eastAsia" w:ascii="宋体" w:hAnsi="宋体"/>
          <w:color w:val="auto"/>
          <w:szCs w:val="21"/>
        </w:rPr>
        <w:t>、车辆内、外部的灯光应齐全、有效。</w:t>
      </w:r>
    </w:p>
    <w:p>
      <w:pPr>
        <w:numPr>
          <w:ilvl w:val="0"/>
          <w:numId w:val="8"/>
        </w:numPr>
        <w:spacing w:line="360" w:lineRule="auto"/>
        <w:rPr>
          <w:rFonts w:ascii="宋体"/>
          <w:color w:val="auto"/>
          <w:szCs w:val="21"/>
        </w:rPr>
      </w:pPr>
      <w:r>
        <w:rPr>
          <w:rFonts w:ascii="宋体" w:hAnsi="宋体"/>
          <w:color w:val="auto"/>
          <w:szCs w:val="21"/>
        </w:rPr>
        <w:t>10</w:t>
      </w:r>
      <w:r>
        <w:rPr>
          <w:rFonts w:hint="eastAsia" w:ascii="宋体" w:hAnsi="宋体"/>
          <w:color w:val="auto"/>
          <w:szCs w:val="21"/>
        </w:rPr>
        <w:t>、车辆在运行过程中不得有异常响声，制动装置</w:t>
      </w:r>
      <w:r>
        <w:rPr>
          <w:rFonts w:ascii="宋体" w:hAnsi="宋体"/>
          <w:color w:val="auto"/>
          <w:szCs w:val="21"/>
        </w:rPr>
        <w:t>(</w:t>
      </w:r>
      <w:r>
        <w:rPr>
          <w:rFonts w:hint="eastAsia" w:ascii="宋体" w:hAnsi="宋体"/>
          <w:color w:val="auto"/>
          <w:szCs w:val="21"/>
        </w:rPr>
        <w:t>包括手制动</w:t>
      </w:r>
      <w:r>
        <w:rPr>
          <w:rFonts w:ascii="宋体" w:hAnsi="宋体"/>
          <w:color w:val="auto"/>
          <w:szCs w:val="21"/>
        </w:rPr>
        <w:t>)</w:t>
      </w:r>
      <w:r>
        <w:rPr>
          <w:rFonts w:hint="eastAsia" w:ascii="宋体" w:hAnsi="宋体"/>
          <w:color w:val="auto"/>
          <w:szCs w:val="21"/>
        </w:rPr>
        <w:t>和转向应灵活、有效；其动力性能和经济性能应符合设计要求；</w:t>
      </w:r>
      <w:r>
        <w:rPr>
          <w:rFonts w:hint="eastAsia" w:ascii="宋体" w:hAnsi="宋体"/>
          <w:b/>
          <w:bCs/>
          <w:color w:val="auto"/>
          <w:szCs w:val="21"/>
        </w:rPr>
        <w:t>尾气排放达到国</w:t>
      </w:r>
      <w:r>
        <w:rPr>
          <w:rFonts w:hint="eastAsia" w:ascii="宋体" w:hAnsi="宋体" w:cs="宋体"/>
          <w:b/>
          <w:bCs/>
          <w:color w:val="auto"/>
          <w:szCs w:val="21"/>
        </w:rPr>
        <w:t>六</w:t>
      </w:r>
      <w:r>
        <w:rPr>
          <w:rFonts w:hint="eastAsia" w:ascii="宋体" w:hAnsi="宋体"/>
          <w:b/>
          <w:bCs/>
          <w:color w:val="auto"/>
          <w:szCs w:val="21"/>
        </w:rPr>
        <w:t>及以上标准，噪声符合现行中国标准</w:t>
      </w:r>
      <w:r>
        <w:rPr>
          <w:rFonts w:hint="eastAsia" w:ascii="宋体" w:hAnsi="宋体"/>
          <w:color w:val="auto"/>
          <w:szCs w:val="21"/>
        </w:rPr>
        <w:t>。</w:t>
      </w:r>
    </w:p>
    <w:p>
      <w:pPr>
        <w:numPr>
          <w:ilvl w:val="0"/>
          <w:numId w:val="9"/>
        </w:numPr>
        <w:spacing w:line="360" w:lineRule="auto"/>
        <w:rPr>
          <w:rFonts w:ascii="宋体"/>
          <w:color w:val="auto"/>
          <w:szCs w:val="21"/>
        </w:rPr>
      </w:pPr>
      <w:r>
        <w:rPr>
          <w:rFonts w:ascii="宋体" w:hAnsi="宋体"/>
          <w:color w:val="auto"/>
          <w:szCs w:val="21"/>
        </w:rPr>
        <w:t>11</w:t>
      </w:r>
      <w:r>
        <w:rPr>
          <w:rFonts w:hint="eastAsia" w:ascii="宋体" w:hAnsi="宋体"/>
          <w:color w:val="auto"/>
          <w:szCs w:val="21"/>
        </w:rPr>
        <w:t>、投标人应主动协助使用方对车辆进行检验，查验发动机号、底盘号，交付所有证件、工具和主、副钥匙，并提供不少于</w:t>
      </w:r>
      <w:r>
        <w:rPr>
          <w:rFonts w:ascii="宋体" w:hAnsi="宋体"/>
          <w:b/>
          <w:color w:val="auto"/>
          <w:szCs w:val="21"/>
        </w:rPr>
        <w:t>50</w:t>
      </w:r>
      <w:r>
        <w:rPr>
          <w:rFonts w:hint="eastAsia" w:ascii="宋体" w:hAnsi="宋体"/>
          <w:b/>
          <w:color w:val="auto"/>
          <w:szCs w:val="21"/>
        </w:rPr>
        <w:t>升</w:t>
      </w:r>
      <w:r>
        <w:rPr>
          <w:rFonts w:hint="eastAsia" w:ascii="宋体" w:hAnsi="宋体"/>
          <w:color w:val="auto"/>
          <w:szCs w:val="21"/>
        </w:rPr>
        <w:t>的燃油。</w:t>
      </w:r>
      <w:r>
        <w:rPr>
          <w:rFonts w:hint="eastAsia" w:ascii="宋体" w:hAnsi="宋体"/>
          <w:b/>
          <w:bCs/>
          <w:color w:val="auto"/>
          <w:szCs w:val="21"/>
        </w:rPr>
        <w:t>投标人应准确把握安徽省当地机动车登记注册政策，所有车辆应具有国家规定的合法的上牌照手续，保证所有车辆能上牌照</w:t>
      </w:r>
      <w:r>
        <w:rPr>
          <w:rFonts w:hint="eastAsia" w:ascii="宋体" w:hAnsi="宋体"/>
          <w:color w:val="auto"/>
          <w:szCs w:val="21"/>
        </w:rPr>
        <w:t>。</w:t>
      </w:r>
    </w:p>
    <w:p>
      <w:pPr>
        <w:numPr>
          <w:ilvl w:val="0"/>
          <w:numId w:val="10"/>
        </w:numPr>
        <w:spacing w:line="360" w:lineRule="auto"/>
        <w:rPr>
          <w:rFonts w:ascii="宋体"/>
          <w:color w:val="auto"/>
          <w:szCs w:val="21"/>
        </w:rPr>
      </w:pPr>
      <w:r>
        <w:rPr>
          <w:rFonts w:ascii="宋体" w:hAnsi="宋体"/>
          <w:color w:val="auto"/>
          <w:szCs w:val="21"/>
        </w:rPr>
        <w:t>12</w:t>
      </w:r>
      <w:r>
        <w:rPr>
          <w:rFonts w:hint="eastAsia" w:ascii="宋体" w:hAnsi="宋体"/>
          <w:color w:val="auto"/>
          <w:szCs w:val="21"/>
        </w:rPr>
        <w:t>、报价人应主动协助使用方做好新车辆的走合期保养，车辆发生故障时，报价人应主动与制造厂联系解决索赔问题。</w:t>
      </w:r>
    </w:p>
    <w:p>
      <w:pPr>
        <w:spacing w:line="360" w:lineRule="auto"/>
        <w:ind w:left="840" w:leftChars="200" w:hanging="420" w:hangingChars="200"/>
        <w:rPr>
          <w:rFonts w:asci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13</w:t>
      </w:r>
      <w:r>
        <w:rPr>
          <w:rFonts w:hint="eastAsia" w:ascii="宋体" w:hAnsi="宋体"/>
          <w:color w:val="auto"/>
          <w:szCs w:val="21"/>
        </w:rPr>
        <w:t>、车辆设备在使用过程中如零部件发生丢失和损坏，报价人应主动协助使用方操作人员按优惠价格配置原制造厂生产的优质零部件。</w:t>
      </w:r>
    </w:p>
    <w:p>
      <w:pPr>
        <w:spacing w:line="360" w:lineRule="auto"/>
        <w:ind w:left="840" w:leftChars="200" w:hanging="420" w:hangingChars="200"/>
        <w:rPr>
          <w:rFonts w:ascii="宋体" w:hAnsi="宋体"/>
          <w:color w:val="auto"/>
          <w:szCs w:val="21"/>
        </w:rPr>
      </w:pPr>
    </w:p>
    <w:p>
      <w:pPr>
        <w:spacing w:line="360" w:lineRule="auto"/>
        <w:ind w:left="840" w:leftChars="200" w:hanging="420" w:hangingChars="200"/>
        <w:rPr>
          <w:rFonts w:ascii="宋体" w:hAnsi="宋体"/>
          <w:color w:val="auto"/>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color w:val="FF0000"/>
          <w:szCs w:val="21"/>
        </w:rPr>
      </w:pPr>
    </w:p>
    <w:p>
      <w:pPr>
        <w:spacing w:line="360" w:lineRule="auto"/>
        <w:ind w:left="840" w:leftChars="200" w:hanging="420" w:hangingChars="200"/>
        <w:rPr>
          <w:rFonts w:ascii="宋体" w:hAnsi="宋体"/>
          <w:szCs w:val="21"/>
        </w:rPr>
      </w:pPr>
    </w:p>
    <w:p>
      <w:pPr>
        <w:spacing w:line="360" w:lineRule="auto"/>
        <w:rPr>
          <w:rFonts w:ascii="宋体" w:hAnsi="宋体"/>
          <w:szCs w:val="21"/>
        </w:rPr>
      </w:pPr>
    </w:p>
    <w:p>
      <w:pPr>
        <w:pStyle w:val="4"/>
        <w:numPr>
          <w:ilvl w:val="0"/>
          <w:numId w:val="0"/>
        </w:numPr>
        <w:spacing w:line="240" w:lineRule="auto"/>
        <w:ind w:left="417"/>
        <w:rPr>
          <w:rFonts w:ascii="宋体" w:hAnsi="宋体" w:cs="宋体"/>
          <w:szCs w:val="21"/>
        </w:rPr>
      </w:pPr>
      <w:r>
        <w:rPr>
          <w:rFonts w:hint="eastAsia"/>
        </w:rPr>
        <w:t>2．车辆参数与要求</w:t>
      </w:r>
    </w:p>
    <w:p>
      <w:pPr>
        <w:numPr>
          <w:ilvl w:val="0"/>
          <w:numId w:val="10"/>
        </w:numPr>
        <w:rPr>
          <w:rFonts w:ascii="宋体" w:hAnsi="宋体" w:cs="宋体"/>
          <w:szCs w:val="21"/>
        </w:rPr>
      </w:pPr>
      <w:r>
        <w:rPr>
          <w:rFonts w:hint="eastAsia" w:ascii="宋体" w:hAnsi="宋体" w:cs="宋体"/>
          <w:szCs w:val="21"/>
        </w:rPr>
        <w:t>1、主要技术参数与要求：详见“采购需求及清单”</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pPr>
      <w:r>
        <w:rPr>
          <w:rFonts w:hint="eastAsia"/>
        </w:rPr>
        <w:t>3．培训要求基本服务要求</w:t>
      </w:r>
    </w:p>
    <w:p>
      <w:pPr>
        <w:ind w:firstLine="420" w:firstLineChars="200"/>
        <w:rPr>
          <w:rFonts w:ascii="宋体" w:hAnsi="宋体"/>
        </w:rPr>
      </w:pPr>
      <w:r>
        <w:rPr>
          <w:rFonts w:hint="eastAsia" w:ascii="宋体" w:hAnsi="宋体"/>
        </w:rPr>
        <w:t>3．1、讲解车辆安全操作规范、安全操作程序、用途、结构及维护和保养方法；</w:t>
      </w:r>
    </w:p>
    <w:p>
      <w:pPr>
        <w:ind w:firstLine="420" w:firstLineChars="200"/>
        <w:rPr>
          <w:rFonts w:ascii="宋体" w:hAnsi="宋体"/>
        </w:rPr>
      </w:pPr>
      <w:r>
        <w:rPr>
          <w:rFonts w:hint="eastAsia" w:ascii="宋体" w:hAnsi="宋体"/>
        </w:rPr>
        <w:t>3．2、指导买方操作人员进行模拟操作及对不同事故的处理；</w:t>
      </w:r>
    </w:p>
    <w:p>
      <w:pPr>
        <w:ind w:firstLine="420" w:firstLineChars="200"/>
        <w:rPr>
          <w:rFonts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pPr>
      <w:r>
        <w:rPr>
          <w:rFonts w:hint="eastAsia"/>
        </w:rPr>
        <w:t>4．质保期及售后服务</w:t>
      </w:r>
    </w:p>
    <w:p>
      <w:pPr>
        <w:ind w:firstLine="420" w:firstLineChars="200"/>
        <w:rPr>
          <w:rFonts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ascii="宋体" w:hAnsi="宋体"/>
        </w:rPr>
      </w:pPr>
      <w:r>
        <w:rPr>
          <w:rFonts w:hint="eastAsia" w:ascii="宋体" w:hAnsi="宋体"/>
        </w:rPr>
        <w:t>4．2、在质保期内，接到买方服务信息后，2个小时内应做出明确回复，24小时内到达现场，72小时内处理完毕。</w:t>
      </w:r>
    </w:p>
    <w:p>
      <w:pPr>
        <w:ind w:firstLine="420" w:firstLineChars="200"/>
        <w:rPr>
          <w:rFonts w:ascii="宋体" w:hAnsi="宋体"/>
        </w:rPr>
      </w:pPr>
      <w:r>
        <w:rPr>
          <w:rFonts w:hint="eastAsia" w:ascii="宋体" w:hAnsi="宋体"/>
        </w:rPr>
        <w:t>4．3、质保期内的维修工时及材料费用、维修人员的差旅费、宿费等由卖方承担。</w:t>
      </w:r>
    </w:p>
    <w:p>
      <w:pPr>
        <w:ind w:firstLine="420" w:firstLineChars="200"/>
        <w:rPr>
          <w:rFonts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ascii="宋体" w:hAnsi="宋体"/>
        </w:rPr>
      </w:pPr>
      <w:r>
        <w:rPr>
          <w:rFonts w:hint="eastAsia" w:ascii="宋体" w:hAnsi="宋体"/>
        </w:rPr>
        <w:t>4．5、 质保期内，卖方在冬季设备使用前及使用结束后免费进行2次/年全面维保工作。</w:t>
      </w:r>
    </w:p>
    <w:p>
      <w:pPr>
        <w:ind w:firstLine="420" w:firstLineChars="200"/>
        <w:rPr>
          <w:rFonts w:ascii="宋体" w:hAnsi="宋体"/>
        </w:rPr>
      </w:pPr>
      <w:r>
        <w:rPr>
          <w:rFonts w:hint="eastAsia" w:ascii="宋体" w:hAnsi="宋体"/>
        </w:rPr>
        <w:t>4．6 、质保期外出现故障时，卖方应按质保期内时效规定提供维修服务，以优惠价格收取材料费及人工费。</w:t>
      </w:r>
    </w:p>
    <w:p>
      <w:pPr>
        <w:ind w:firstLine="420" w:firstLineChars="200"/>
        <w:rPr>
          <w:rFonts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pPr>
      <w:r>
        <w:rPr>
          <w:rFonts w:hint="eastAsia"/>
        </w:rPr>
        <w:t>5．技术服务范围及验收标准</w:t>
      </w:r>
    </w:p>
    <w:p>
      <w:pPr>
        <w:ind w:firstLine="420" w:firstLineChars="200"/>
        <w:rPr>
          <w:rFonts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ascii="宋体" w:hAnsi="宋体"/>
        </w:rPr>
      </w:pPr>
      <w:r>
        <w:rPr>
          <w:rFonts w:hint="eastAsia" w:ascii="宋体" w:hAnsi="宋体"/>
        </w:rPr>
        <w:t>5.2、厂家提供使用说明书及维修手册1套。</w:t>
      </w:r>
    </w:p>
    <w:p>
      <w:pPr>
        <w:ind w:firstLine="420" w:firstLineChars="200"/>
        <w:rPr>
          <w:rFonts w:ascii="宋体" w:hAnsi="宋体"/>
        </w:rPr>
      </w:pPr>
      <w:r>
        <w:rPr>
          <w:rFonts w:hint="eastAsia" w:ascii="宋体" w:hAnsi="宋体"/>
        </w:rPr>
        <w:t>5.3、厂家出示检验报告及合格证明。</w:t>
      </w:r>
    </w:p>
    <w:p>
      <w:pPr>
        <w:ind w:firstLine="420" w:firstLineChars="200"/>
        <w:rPr>
          <w:rFonts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ascii="宋体" w:hAnsi="宋体"/>
        </w:rPr>
      </w:pPr>
      <w:r>
        <w:rPr>
          <w:rFonts w:hint="eastAsia" w:ascii="宋体" w:hAnsi="宋体"/>
        </w:rPr>
        <w:t>5.5、各部件性能可靠，无渗漏，无异响，转动灵活，制动良好。</w:t>
      </w:r>
    </w:p>
    <w:p>
      <w:pPr>
        <w:ind w:firstLine="420" w:firstLineChars="200"/>
        <w:rPr>
          <w:rFonts w:ascii="宋体" w:hAnsi="宋体"/>
        </w:rPr>
      </w:pPr>
      <w:r>
        <w:rPr>
          <w:rFonts w:hint="eastAsia" w:ascii="宋体" w:hAnsi="宋体"/>
        </w:rPr>
        <w:t>5.6、验收期限：交货后一周内。</w:t>
      </w:r>
    </w:p>
    <w:p>
      <w:pPr>
        <w:ind w:firstLine="420" w:firstLineChars="200"/>
        <w:rPr>
          <w:rFonts w:ascii="宋体" w:hAnsi="宋体"/>
        </w:rPr>
      </w:pPr>
      <w:r>
        <w:rPr>
          <w:rFonts w:hint="eastAsia" w:ascii="宋体" w:hAnsi="宋体"/>
        </w:rPr>
        <w:t>5.7、交货地点：买方指定。</w:t>
      </w:r>
    </w:p>
    <w:p>
      <w:pPr>
        <w:pStyle w:val="4"/>
        <w:numPr>
          <w:ilvl w:val="0"/>
          <w:numId w:val="0"/>
        </w:numPr>
        <w:spacing w:line="240" w:lineRule="auto"/>
        <w:ind w:left="417"/>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Times New Roman" w:hAnsi="Times New Roman" w:eastAsia="宋体" w:cs="Times New Roman"/>
          <w:b/>
          <w:bCs/>
          <w:sz w:val="36"/>
          <w:szCs w:val="36"/>
        </w:rPr>
      </w:pPr>
      <w:bookmarkStart w:id="80"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27552_WPSOffice_Level1"/>
      <w:bookmarkStart w:id="83" w:name="_Toc1739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30529_WPSOffice_Level1"/>
      <w:bookmarkStart w:id="93" w:name="_Toc23368_WPSOffice_Level1"/>
      <w:bookmarkStart w:id="94" w:name="_Toc6353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5317_WPSOffice_Level1"/>
      <w:bookmarkStart w:id="98" w:name="_Toc21229_WPSOffice_Level1"/>
      <w:bookmarkStart w:id="99" w:name="_Toc31927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23356_WPSOffice_Level1"/>
      <w:bookmarkStart w:id="103"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7453_WPSOffice_Level1"/>
      <w:bookmarkStart w:id="105" w:name="_Toc10608_WPSOffice_Level1"/>
      <w:bookmarkStart w:id="106" w:name="_Toc23744_WPSOffice_Level1"/>
      <w:bookmarkStart w:id="107"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9006_WPSOffice_Level1"/>
      <w:bookmarkStart w:id="109" w:name="_Toc19601_WPSOffice_Level1"/>
      <w:bookmarkStart w:id="110" w:name="_Toc1578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765_WPSOffice_Level1"/>
      <w:bookmarkStart w:id="117" w:name="_Toc18312_WPSOffice_Level1"/>
      <w:bookmarkStart w:id="118" w:name="_Toc30031_WPSOffice_Level1"/>
      <w:bookmarkStart w:id="119" w:name="_Toc1687_WPSOffice_Level1"/>
      <w:bookmarkStart w:id="120" w:name="_Toc29399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4563_WPSOffice_Level1"/>
      <w:bookmarkStart w:id="122" w:name="_Toc32350_WPSOffice_Level1"/>
      <w:bookmarkStart w:id="123" w:name="_Toc8695_WPSOffice_Level1"/>
      <w:bookmarkStart w:id="124" w:name="_Toc12530_WPSOffice_Level1"/>
      <w:bookmarkStart w:id="125" w:name="_Toc18668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5153_WPSOffice_Level2"/>
      <w:bookmarkStart w:id="127" w:name="_Toc2080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24567_WPSOffice_Level1"/>
      <w:bookmarkStart w:id="131" w:name="_Toc15186_WPSOffice_Level1"/>
      <w:bookmarkStart w:id="132" w:name="_Toc24530_WPSOffice_Level1"/>
      <w:bookmarkStart w:id="133" w:name="_Toc32085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952"/>
        <w:gridCol w:w="1410"/>
        <w:gridCol w:w="1290"/>
        <w:gridCol w:w="146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952" w:type="dxa"/>
            <w:vAlign w:val="center"/>
          </w:tcPr>
          <w:p>
            <w:pPr>
              <w:jc w:val="center"/>
              <w:rPr>
                <w:sz w:val="30"/>
                <w:szCs w:val="30"/>
              </w:rPr>
            </w:pPr>
            <w:r>
              <w:rPr>
                <w:rFonts w:hint="eastAsia"/>
                <w:sz w:val="30"/>
                <w:szCs w:val="30"/>
              </w:rPr>
              <w:t>品牌型号</w:t>
            </w:r>
          </w:p>
        </w:tc>
        <w:tc>
          <w:tcPr>
            <w:tcW w:w="1410" w:type="dxa"/>
            <w:vAlign w:val="center"/>
          </w:tcPr>
          <w:p>
            <w:pPr>
              <w:jc w:val="center"/>
              <w:rPr>
                <w:sz w:val="30"/>
                <w:szCs w:val="30"/>
              </w:rPr>
            </w:pPr>
            <w:r>
              <w:rPr>
                <w:rFonts w:hint="eastAsia"/>
                <w:sz w:val="30"/>
                <w:szCs w:val="30"/>
              </w:rPr>
              <w:t>单位</w:t>
            </w:r>
          </w:p>
        </w:tc>
        <w:tc>
          <w:tcPr>
            <w:tcW w:w="1290" w:type="dxa"/>
            <w:vAlign w:val="center"/>
          </w:tcPr>
          <w:p>
            <w:pPr>
              <w:jc w:val="center"/>
              <w:rPr>
                <w:sz w:val="30"/>
                <w:szCs w:val="30"/>
              </w:rPr>
            </w:pPr>
            <w:r>
              <w:rPr>
                <w:rFonts w:hint="eastAsia"/>
                <w:sz w:val="30"/>
                <w:szCs w:val="30"/>
              </w:rPr>
              <w:t>数量</w:t>
            </w:r>
          </w:p>
        </w:tc>
        <w:tc>
          <w:tcPr>
            <w:tcW w:w="1469"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952" w:type="dxa"/>
            <w:vAlign w:val="center"/>
          </w:tcPr>
          <w:p>
            <w:pPr>
              <w:spacing w:before="100" w:beforeAutospacing="1" w:after="100" w:afterAutospacing="1" w:line="360" w:lineRule="auto"/>
              <w:jc w:val="center"/>
              <w:rPr>
                <w:sz w:val="28"/>
                <w:szCs w:val="28"/>
              </w:rPr>
            </w:pPr>
          </w:p>
        </w:tc>
        <w:tc>
          <w:tcPr>
            <w:tcW w:w="1410" w:type="dxa"/>
            <w:vAlign w:val="center"/>
          </w:tcPr>
          <w:p>
            <w:pPr>
              <w:jc w:val="center"/>
              <w:rPr>
                <w:sz w:val="30"/>
                <w:szCs w:val="30"/>
              </w:rPr>
            </w:pPr>
          </w:p>
        </w:tc>
        <w:tc>
          <w:tcPr>
            <w:tcW w:w="1290" w:type="dxa"/>
            <w:vAlign w:val="center"/>
          </w:tcPr>
          <w:p>
            <w:pPr>
              <w:jc w:val="center"/>
              <w:rPr>
                <w:sz w:val="30"/>
                <w:szCs w:val="30"/>
              </w:rPr>
            </w:pPr>
          </w:p>
        </w:tc>
        <w:tc>
          <w:tcPr>
            <w:tcW w:w="1469"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说明：1．本采购清单应与投标人须知、合同条款等文件结合起来查阅与理解，最终合同价为中标价减去销售差价。</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7738_WPSOffice_Level1"/>
      <w:bookmarkStart w:id="137" w:name="_Toc23545_WPSOffice_Level1"/>
      <w:bookmarkStart w:id="138" w:name="_Toc31445_WPSOffice_Level1"/>
      <w:bookmarkStart w:id="139"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18547_WPSOffice_Level1"/>
      <w:bookmarkStart w:id="143" w:name="_Toc5072_WPSOffice_Level1"/>
      <w:bookmarkStart w:id="144" w:name="_Toc19004_WPSOffice_Level1"/>
      <w:bookmarkStart w:id="145" w:name="_Toc3772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5403_WPSOffice_Level1"/>
      <w:bookmarkStart w:id="148" w:name="_Toc12019_WPSOffice_Level1"/>
      <w:bookmarkStart w:id="149" w:name="_Toc9267_WPSOffice_Level1"/>
      <w:bookmarkStart w:id="150" w:name="_Toc3893_WPSOffice_Level1"/>
      <w:bookmarkStart w:id="151"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1"/>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1"/>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8">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5"/>
  </w:num>
  <w:num w:numId="3">
    <w:abstractNumId w:val="2"/>
  </w:num>
  <w:num w:numId="4">
    <w:abstractNumId w:val="9"/>
  </w:num>
  <w:num w:numId="5">
    <w:abstractNumId w:val="6"/>
  </w:num>
  <w:num w:numId="6">
    <w:abstractNumId w:val="8"/>
  </w:num>
  <w:num w:numId="7">
    <w:abstractNumId w:val="10"/>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0CE"/>
    <w:rsid w:val="00043805"/>
    <w:rsid w:val="0007390D"/>
    <w:rsid w:val="000C168A"/>
    <w:rsid w:val="00145F89"/>
    <w:rsid w:val="001571AF"/>
    <w:rsid w:val="00172A27"/>
    <w:rsid w:val="001918D6"/>
    <w:rsid w:val="001C5613"/>
    <w:rsid w:val="001D799F"/>
    <w:rsid w:val="00200E3F"/>
    <w:rsid w:val="00210155"/>
    <w:rsid w:val="00210A1D"/>
    <w:rsid w:val="0026697A"/>
    <w:rsid w:val="00272678"/>
    <w:rsid w:val="00293AD3"/>
    <w:rsid w:val="002B094E"/>
    <w:rsid w:val="002C1D61"/>
    <w:rsid w:val="002C6983"/>
    <w:rsid w:val="002F1DD8"/>
    <w:rsid w:val="002F205F"/>
    <w:rsid w:val="00300F0C"/>
    <w:rsid w:val="003502B5"/>
    <w:rsid w:val="003A709E"/>
    <w:rsid w:val="003D77CB"/>
    <w:rsid w:val="00402DF9"/>
    <w:rsid w:val="00481F4C"/>
    <w:rsid w:val="004A1CBB"/>
    <w:rsid w:val="004A4678"/>
    <w:rsid w:val="004C423B"/>
    <w:rsid w:val="00533497"/>
    <w:rsid w:val="00540AED"/>
    <w:rsid w:val="00546E4E"/>
    <w:rsid w:val="005552DA"/>
    <w:rsid w:val="00561475"/>
    <w:rsid w:val="005F7E47"/>
    <w:rsid w:val="006728DD"/>
    <w:rsid w:val="00690999"/>
    <w:rsid w:val="006C5BAC"/>
    <w:rsid w:val="006D6F7B"/>
    <w:rsid w:val="007216EC"/>
    <w:rsid w:val="00750D66"/>
    <w:rsid w:val="00757002"/>
    <w:rsid w:val="00845BF3"/>
    <w:rsid w:val="008766DD"/>
    <w:rsid w:val="008B1B07"/>
    <w:rsid w:val="008E1521"/>
    <w:rsid w:val="009130D0"/>
    <w:rsid w:val="00941782"/>
    <w:rsid w:val="00963C3F"/>
    <w:rsid w:val="009969A9"/>
    <w:rsid w:val="009B6373"/>
    <w:rsid w:val="009D0BEC"/>
    <w:rsid w:val="009F0AA5"/>
    <w:rsid w:val="00A04F1C"/>
    <w:rsid w:val="00A23249"/>
    <w:rsid w:val="00A256D0"/>
    <w:rsid w:val="00A52F5B"/>
    <w:rsid w:val="00A6283B"/>
    <w:rsid w:val="00A92D02"/>
    <w:rsid w:val="00AF2493"/>
    <w:rsid w:val="00AF539B"/>
    <w:rsid w:val="00B15858"/>
    <w:rsid w:val="00B31DA0"/>
    <w:rsid w:val="00B93F76"/>
    <w:rsid w:val="00BA1CAE"/>
    <w:rsid w:val="00BE6BC3"/>
    <w:rsid w:val="00C454A0"/>
    <w:rsid w:val="00C654E8"/>
    <w:rsid w:val="00C843E9"/>
    <w:rsid w:val="00CE443D"/>
    <w:rsid w:val="00D02E59"/>
    <w:rsid w:val="00D43FF6"/>
    <w:rsid w:val="00D60F2E"/>
    <w:rsid w:val="00D66D0A"/>
    <w:rsid w:val="00D8669A"/>
    <w:rsid w:val="00DD18EB"/>
    <w:rsid w:val="00DE6371"/>
    <w:rsid w:val="00E0743D"/>
    <w:rsid w:val="00E42AA9"/>
    <w:rsid w:val="00E90327"/>
    <w:rsid w:val="00ED6923"/>
    <w:rsid w:val="00ED718A"/>
    <w:rsid w:val="00F27C0A"/>
    <w:rsid w:val="00F56741"/>
    <w:rsid w:val="00F85CDA"/>
    <w:rsid w:val="00F868FF"/>
    <w:rsid w:val="00FD6B38"/>
    <w:rsid w:val="00FE4671"/>
    <w:rsid w:val="00FE6886"/>
    <w:rsid w:val="01057133"/>
    <w:rsid w:val="01261938"/>
    <w:rsid w:val="01516AAC"/>
    <w:rsid w:val="015F01C5"/>
    <w:rsid w:val="016467FF"/>
    <w:rsid w:val="016A3226"/>
    <w:rsid w:val="016B0268"/>
    <w:rsid w:val="016B560F"/>
    <w:rsid w:val="016F3AE4"/>
    <w:rsid w:val="01992D6C"/>
    <w:rsid w:val="01A05D40"/>
    <w:rsid w:val="01C47A83"/>
    <w:rsid w:val="01D26FB5"/>
    <w:rsid w:val="01D8197B"/>
    <w:rsid w:val="01F423F9"/>
    <w:rsid w:val="02034851"/>
    <w:rsid w:val="0224595E"/>
    <w:rsid w:val="024946D1"/>
    <w:rsid w:val="0250686A"/>
    <w:rsid w:val="02595534"/>
    <w:rsid w:val="02763446"/>
    <w:rsid w:val="028275B1"/>
    <w:rsid w:val="02836B8D"/>
    <w:rsid w:val="028E3192"/>
    <w:rsid w:val="02A94630"/>
    <w:rsid w:val="02B236EE"/>
    <w:rsid w:val="02B7452C"/>
    <w:rsid w:val="02C10E78"/>
    <w:rsid w:val="02D65DED"/>
    <w:rsid w:val="02E96424"/>
    <w:rsid w:val="02EB7516"/>
    <w:rsid w:val="02F44385"/>
    <w:rsid w:val="03380757"/>
    <w:rsid w:val="033E575A"/>
    <w:rsid w:val="036B6B95"/>
    <w:rsid w:val="038226D6"/>
    <w:rsid w:val="039E2F77"/>
    <w:rsid w:val="03A72B34"/>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8D5320"/>
    <w:rsid w:val="069B3C00"/>
    <w:rsid w:val="06B77ADD"/>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875C27"/>
    <w:rsid w:val="099C614A"/>
    <w:rsid w:val="09A07033"/>
    <w:rsid w:val="09A35E85"/>
    <w:rsid w:val="09A7522A"/>
    <w:rsid w:val="09B36429"/>
    <w:rsid w:val="09B83A16"/>
    <w:rsid w:val="0A132DA4"/>
    <w:rsid w:val="0A3641B0"/>
    <w:rsid w:val="0A3769B7"/>
    <w:rsid w:val="0A605CF3"/>
    <w:rsid w:val="0A6564B9"/>
    <w:rsid w:val="0A8F7249"/>
    <w:rsid w:val="0AA52BD3"/>
    <w:rsid w:val="0AAC4813"/>
    <w:rsid w:val="0AB417AF"/>
    <w:rsid w:val="0ACB14D5"/>
    <w:rsid w:val="0B0109E6"/>
    <w:rsid w:val="0B0364E1"/>
    <w:rsid w:val="0B0B548D"/>
    <w:rsid w:val="0B0E2EC2"/>
    <w:rsid w:val="0B575C8E"/>
    <w:rsid w:val="0B8C0B40"/>
    <w:rsid w:val="0B9E7AAB"/>
    <w:rsid w:val="0BBC4860"/>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AE1113"/>
    <w:rsid w:val="0CEE2538"/>
    <w:rsid w:val="0CFF356B"/>
    <w:rsid w:val="0D1C692C"/>
    <w:rsid w:val="0D1F7FB3"/>
    <w:rsid w:val="0D421699"/>
    <w:rsid w:val="0D491784"/>
    <w:rsid w:val="0DBC5FD9"/>
    <w:rsid w:val="0DBF7526"/>
    <w:rsid w:val="0DE17D3B"/>
    <w:rsid w:val="0DE55C13"/>
    <w:rsid w:val="0DE73269"/>
    <w:rsid w:val="0E353D12"/>
    <w:rsid w:val="0E3766AA"/>
    <w:rsid w:val="0E3C6E1E"/>
    <w:rsid w:val="0E421045"/>
    <w:rsid w:val="0E5B2709"/>
    <w:rsid w:val="0EC101C2"/>
    <w:rsid w:val="0EC70BFA"/>
    <w:rsid w:val="0ED43311"/>
    <w:rsid w:val="0ED577E7"/>
    <w:rsid w:val="0EF511C8"/>
    <w:rsid w:val="0EF55437"/>
    <w:rsid w:val="0F084473"/>
    <w:rsid w:val="0F3638ED"/>
    <w:rsid w:val="0F56600C"/>
    <w:rsid w:val="0F723405"/>
    <w:rsid w:val="0F960074"/>
    <w:rsid w:val="0F9B2FEA"/>
    <w:rsid w:val="0FAD788E"/>
    <w:rsid w:val="0FCC7A5D"/>
    <w:rsid w:val="0FDB62B2"/>
    <w:rsid w:val="0FE0087A"/>
    <w:rsid w:val="100A243A"/>
    <w:rsid w:val="1015385D"/>
    <w:rsid w:val="10192354"/>
    <w:rsid w:val="10406357"/>
    <w:rsid w:val="1055158F"/>
    <w:rsid w:val="107348E1"/>
    <w:rsid w:val="107B36EC"/>
    <w:rsid w:val="108B2866"/>
    <w:rsid w:val="10C02202"/>
    <w:rsid w:val="10C56148"/>
    <w:rsid w:val="10EE14A7"/>
    <w:rsid w:val="10F71714"/>
    <w:rsid w:val="11076A24"/>
    <w:rsid w:val="110B15DD"/>
    <w:rsid w:val="112B09BB"/>
    <w:rsid w:val="1149233A"/>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8C1B77"/>
    <w:rsid w:val="129B7928"/>
    <w:rsid w:val="12B9356F"/>
    <w:rsid w:val="12C8183D"/>
    <w:rsid w:val="12D73FF1"/>
    <w:rsid w:val="12DC49E1"/>
    <w:rsid w:val="12DE1788"/>
    <w:rsid w:val="12E15AAD"/>
    <w:rsid w:val="12EF29CB"/>
    <w:rsid w:val="1301017A"/>
    <w:rsid w:val="130237CB"/>
    <w:rsid w:val="131D7C46"/>
    <w:rsid w:val="139157D5"/>
    <w:rsid w:val="13A613F8"/>
    <w:rsid w:val="13A61F8A"/>
    <w:rsid w:val="13D76BB3"/>
    <w:rsid w:val="13E95DB4"/>
    <w:rsid w:val="13EB2E20"/>
    <w:rsid w:val="13EE17CA"/>
    <w:rsid w:val="13F71AAC"/>
    <w:rsid w:val="13F727DE"/>
    <w:rsid w:val="141603C9"/>
    <w:rsid w:val="143C4D76"/>
    <w:rsid w:val="143E047A"/>
    <w:rsid w:val="146A70C1"/>
    <w:rsid w:val="14980C4A"/>
    <w:rsid w:val="14980E16"/>
    <w:rsid w:val="1498179F"/>
    <w:rsid w:val="14BA42FD"/>
    <w:rsid w:val="14DC7DC8"/>
    <w:rsid w:val="14E01A95"/>
    <w:rsid w:val="150A1554"/>
    <w:rsid w:val="152D164D"/>
    <w:rsid w:val="153122C9"/>
    <w:rsid w:val="154F540A"/>
    <w:rsid w:val="155319D5"/>
    <w:rsid w:val="156752D2"/>
    <w:rsid w:val="157F1021"/>
    <w:rsid w:val="15833F89"/>
    <w:rsid w:val="1589623D"/>
    <w:rsid w:val="15C36A4E"/>
    <w:rsid w:val="15E451EB"/>
    <w:rsid w:val="15EB36FD"/>
    <w:rsid w:val="15F55102"/>
    <w:rsid w:val="15F73B07"/>
    <w:rsid w:val="15F906E0"/>
    <w:rsid w:val="16057AB2"/>
    <w:rsid w:val="162149AE"/>
    <w:rsid w:val="162C6C5D"/>
    <w:rsid w:val="16542610"/>
    <w:rsid w:val="16576E90"/>
    <w:rsid w:val="16664275"/>
    <w:rsid w:val="16BD38FF"/>
    <w:rsid w:val="16D65EF5"/>
    <w:rsid w:val="16F516A4"/>
    <w:rsid w:val="17067E9D"/>
    <w:rsid w:val="173B67EB"/>
    <w:rsid w:val="17555AF7"/>
    <w:rsid w:val="175F4FAA"/>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B60CE3"/>
    <w:rsid w:val="19C22F6A"/>
    <w:rsid w:val="19C9294C"/>
    <w:rsid w:val="19CC7A79"/>
    <w:rsid w:val="19D150E1"/>
    <w:rsid w:val="19DD457B"/>
    <w:rsid w:val="19FD2538"/>
    <w:rsid w:val="1A17222A"/>
    <w:rsid w:val="1A412867"/>
    <w:rsid w:val="1A4660F2"/>
    <w:rsid w:val="1A720045"/>
    <w:rsid w:val="1AC27301"/>
    <w:rsid w:val="1AC3476E"/>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B26A7"/>
    <w:rsid w:val="1CAD29F5"/>
    <w:rsid w:val="1CDE2D4A"/>
    <w:rsid w:val="1CE41B29"/>
    <w:rsid w:val="1CF13118"/>
    <w:rsid w:val="1CF6219E"/>
    <w:rsid w:val="1D011989"/>
    <w:rsid w:val="1D1C4C9A"/>
    <w:rsid w:val="1D2C0C7A"/>
    <w:rsid w:val="1D3D5B86"/>
    <w:rsid w:val="1D4318D2"/>
    <w:rsid w:val="1D435A83"/>
    <w:rsid w:val="1D502683"/>
    <w:rsid w:val="1D582C93"/>
    <w:rsid w:val="1D6A0A81"/>
    <w:rsid w:val="1D8F37AE"/>
    <w:rsid w:val="1DA538B1"/>
    <w:rsid w:val="1DCA0187"/>
    <w:rsid w:val="1DEE3EE6"/>
    <w:rsid w:val="1DEF15E5"/>
    <w:rsid w:val="1DFB3480"/>
    <w:rsid w:val="1E076BA3"/>
    <w:rsid w:val="1E1A09BF"/>
    <w:rsid w:val="1E2E506B"/>
    <w:rsid w:val="1E373F50"/>
    <w:rsid w:val="1E3B3E71"/>
    <w:rsid w:val="1E547E7A"/>
    <w:rsid w:val="1E84078B"/>
    <w:rsid w:val="1E9451AD"/>
    <w:rsid w:val="1EB01493"/>
    <w:rsid w:val="1EB45B84"/>
    <w:rsid w:val="1ED566BF"/>
    <w:rsid w:val="1EE97FFB"/>
    <w:rsid w:val="1F0079C8"/>
    <w:rsid w:val="1F021002"/>
    <w:rsid w:val="1F1F765A"/>
    <w:rsid w:val="1F236DF7"/>
    <w:rsid w:val="1F382298"/>
    <w:rsid w:val="1F3C5333"/>
    <w:rsid w:val="1F512664"/>
    <w:rsid w:val="1F5C1AF9"/>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9C61B7"/>
    <w:rsid w:val="20A32AD4"/>
    <w:rsid w:val="20BB0B4F"/>
    <w:rsid w:val="20C14537"/>
    <w:rsid w:val="20C23964"/>
    <w:rsid w:val="20C74511"/>
    <w:rsid w:val="20D03B7B"/>
    <w:rsid w:val="20ED699B"/>
    <w:rsid w:val="211B2CD8"/>
    <w:rsid w:val="21225095"/>
    <w:rsid w:val="21303DB9"/>
    <w:rsid w:val="217F414A"/>
    <w:rsid w:val="21957A4E"/>
    <w:rsid w:val="21B209FB"/>
    <w:rsid w:val="21C307B3"/>
    <w:rsid w:val="21CE3C80"/>
    <w:rsid w:val="21D1094A"/>
    <w:rsid w:val="21D11C50"/>
    <w:rsid w:val="21E27CC2"/>
    <w:rsid w:val="21FC1CC5"/>
    <w:rsid w:val="220F22ED"/>
    <w:rsid w:val="22290B71"/>
    <w:rsid w:val="223920C8"/>
    <w:rsid w:val="2257773E"/>
    <w:rsid w:val="22664620"/>
    <w:rsid w:val="226B1106"/>
    <w:rsid w:val="228C37EE"/>
    <w:rsid w:val="228C6100"/>
    <w:rsid w:val="22A75A54"/>
    <w:rsid w:val="22C75FB3"/>
    <w:rsid w:val="22E70E35"/>
    <w:rsid w:val="22EB5910"/>
    <w:rsid w:val="231432F6"/>
    <w:rsid w:val="23202A87"/>
    <w:rsid w:val="23211294"/>
    <w:rsid w:val="23291D55"/>
    <w:rsid w:val="23331629"/>
    <w:rsid w:val="23533555"/>
    <w:rsid w:val="235C166E"/>
    <w:rsid w:val="236A33A4"/>
    <w:rsid w:val="23870C5D"/>
    <w:rsid w:val="23B23A20"/>
    <w:rsid w:val="23B5629D"/>
    <w:rsid w:val="23F25D22"/>
    <w:rsid w:val="24013265"/>
    <w:rsid w:val="24074B2C"/>
    <w:rsid w:val="24202C55"/>
    <w:rsid w:val="244554CD"/>
    <w:rsid w:val="244637AD"/>
    <w:rsid w:val="244D04EE"/>
    <w:rsid w:val="246A0AA7"/>
    <w:rsid w:val="249A29C0"/>
    <w:rsid w:val="24BA3596"/>
    <w:rsid w:val="24C22F3D"/>
    <w:rsid w:val="24C74E0F"/>
    <w:rsid w:val="24CC38EA"/>
    <w:rsid w:val="24EA1E5C"/>
    <w:rsid w:val="24F713BB"/>
    <w:rsid w:val="2507530A"/>
    <w:rsid w:val="25080E67"/>
    <w:rsid w:val="252C2973"/>
    <w:rsid w:val="25374EF4"/>
    <w:rsid w:val="25436803"/>
    <w:rsid w:val="259857A2"/>
    <w:rsid w:val="25CD46BA"/>
    <w:rsid w:val="25D12068"/>
    <w:rsid w:val="25D376ED"/>
    <w:rsid w:val="261E2FED"/>
    <w:rsid w:val="262D3499"/>
    <w:rsid w:val="2631307A"/>
    <w:rsid w:val="26314928"/>
    <w:rsid w:val="26505959"/>
    <w:rsid w:val="26757836"/>
    <w:rsid w:val="267942C6"/>
    <w:rsid w:val="26936A6A"/>
    <w:rsid w:val="26AC54AE"/>
    <w:rsid w:val="26AE35E3"/>
    <w:rsid w:val="26CC5821"/>
    <w:rsid w:val="26D9686E"/>
    <w:rsid w:val="26E12230"/>
    <w:rsid w:val="270A6B81"/>
    <w:rsid w:val="27224050"/>
    <w:rsid w:val="27573233"/>
    <w:rsid w:val="276F5392"/>
    <w:rsid w:val="276F78A4"/>
    <w:rsid w:val="277F5371"/>
    <w:rsid w:val="27897256"/>
    <w:rsid w:val="278D323D"/>
    <w:rsid w:val="279E6A72"/>
    <w:rsid w:val="27A22B9A"/>
    <w:rsid w:val="27E17707"/>
    <w:rsid w:val="2832016E"/>
    <w:rsid w:val="28332E82"/>
    <w:rsid w:val="28945AD5"/>
    <w:rsid w:val="28CB2405"/>
    <w:rsid w:val="28CC65CA"/>
    <w:rsid w:val="28E4564A"/>
    <w:rsid w:val="28FD4C25"/>
    <w:rsid w:val="29121767"/>
    <w:rsid w:val="293529A7"/>
    <w:rsid w:val="294549B1"/>
    <w:rsid w:val="297E1F1F"/>
    <w:rsid w:val="298E4667"/>
    <w:rsid w:val="299E263B"/>
    <w:rsid w:val="29AC15DA"/>
    <w:rsid w:val="29C849C9"/>
    <w:rsid w:val="2A1D6B49"/>
    <w:rsid w:val="2A571212"/>
    <w:rsid w:val="2A76695F"/>
    <w:rsid w:val="2A9758C1"/>
    <w:rsid w:val="2AA2330A"/>
    <w:rsid w:val="2AA86D0F"/>
    <w:rsid w:val="2AB036B9"/>
    <w:rsid w:val="2AB12B97"/>
    <w:rsid w:val="2AB50200"/>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66589"/>
    <w:rsid w:val="2D853AD8"/>
    <w:rsid w:val="2D8B655F"/>
    <w:rsid w:val="2DA3066A"/>
    <w:rsid w:val="2DA41677"/>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2FEE6079"/>
    <w:rsid w:val="300C6F30"/>
    <w:rsid w:val="302F697C"/>
    <w:rsid w:val="303B074A"/>
    <w:rsid w:val="303D10B7"/>
    <w:rsid w:val="304B1BB7"/>
    <w:rsid w:val="306A015C"/>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C23720"/>
    <w:rsid w:val="32D33D11"/>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5237C"/>
    <w:rsid w:val="34487B5D"/>
    <w:rsid w:val="345D7407"/>
    <w:rsid w:val="346C40F4"/>
    <w:rsid w:val="347A4B5A"/>
    <w:rsid w:val="34826A34"/>
    <w:rsid w:val="34C13954"/>
    <w:rsid w:val="34CD11F9"/>
    <w:rsid w:val="34DF0FFB"/>
    <w:rsid w:val="34FD6977"/>
    <w:rsid w:val="35091493"/>
    <w:rsid w:val="355828E2"/>
    <w:rsid w:val="35664635"/>
    <w:rsid w:val="35764CC9"/>
    <w:rsid w:val="357F680D"/>
    <w:rsid w:val="35903ACA"/>
    <w:rsid w:val="35A9536A"/>
    <w:rsid w:val="35AC6226"/>
    <w:rsid w:val="35AD6A18"/>
    <w:rsid w:val="35BF7FD5"/>
    <w:rsid w:val="35C87EEC"/>
    <w:rsid w:val="35CE5151"/>
    <w:rsid w:val="362B46A7"/>
    <w:rsid w:val="368558B3"/>
    <w:rsid w:val="36867FAA"/>
    <w:rsid w:val="36876E6A"/>
    <w:rsid w:val="36980DD0"/>
    <w:rsid w:val="36C0156D"/>
    <w:rsid w:val="36CF4BC1"/>
    <w:rsid w:val="36D06F22"/>
    <w:rsid w:val="370C460C"/>
    <w:rsid w:val="37117618"/>
    <w:rsid w:val="371B6C62"/>
    <w:rsid w:val="373B0A3F"/>
    <w:rsid w:val="375F0F03"/>
    <w:rsid w:val="37702AE4"/>
    <w:rsid w:val="37786A0B"/>
    <w:rsid w:val="377A75FB"/>
    <w:rsid w:val="377F2612"/>
    <w:rsid w:val="379940D4"/>
    <w:rsid w:val="37B82590"/>
    <w:rsid w:val="37E57834"/>
    <w:rsid w:val="38120363"/>
    <w:rsid w:val="382A0CE5"/>
    <w:rsid w:val="383261D0"/>
    <w:rsid w:val="38371426"/>
    <w:rsid w:val="384606FC"/>
    <w:rsid w:val="385703DF"/>
    <w:rsid w:val="385A418A"/>
    <w:rsid w:val="385D1023"/>
    <w:rsid w:val="385F5346"/>
    <w:rsid w:val="38646884"/>
    <w:rsid w:val="38715FB7"/>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5C2CCB"/>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97301"/>
    <w:rsid w:val="3BFB140F"/>
    <w:rsid w:val="3C5B580C"/>
    <w:rsid w:val="3C6B2863"/>
    <w:rsid w:val="3C7E046A"/>
    <w:rsid w:val="3CC669C0"/>
    <w:rsid w:val="3CC742EA"/>
    <w:rsid w:val="3CCC78C1"/>
    <w:rsid w:val="3D191420"/>
    <w:rsid w:val="3D400D6D"/>
    <w:rsid w:val="3D4729E2"/>
    <w:rsid w:val="3D870377"/>
    <w:rsid w:val="3DB644C5"/>
    <w:rsid w:val="3DBA3955"/>
    <w:rsid w:val="3DC21BD0"/>
    <w:rsid w:val="3DC64303"/>
    <w:rsid w:val="3DFD18E3"/>
    <w:rsid w:val="3E234CC4"/>
    <w:rsid w:val="3E3454D4"/>
    <w:rsid w:val="3E430296"/>
    <w:rsid w:val="3E4E3D1C"/>
    <w:rsid w:val="3E553473"/>
    <w:rsid w:val="3E56477C"/>
    <w:rsid w:val="3E755BE7"/>
    <w:rsid w:val="3E775349"/>
    <w:rsid w:val="3E7E2662"/>
    <w:rsid w:val="3E8C238D"/>
    <w:rsid w:val="3E9D5BD9"/>
    <w:rsid w:val="3E9F013E"/>
    <w:rsid w:val="3E9F4895"/>
    <w:rsid w:val="3EA6533F"/>
    <w:rsid w:val="3EBD43A1"/>
    <w:rsid w:val="3ECD7713"/>
    <w:rsid w:val="3ECE2C18"/>
    <w:rsid w:val="3ED51025"/>
    <w:rsid w:val="3EDF33BB"/>
    <w:rsid w:val="3EF003A8"/>
    <w:rsid w:val="3EF3475E"/>
    <w:rsid w:val="3F113EE4"/>
    <w:rsid w:val="3F27360A"/>
    <w:rsid w:val="3F413CC5"/>
    <w:rsid w:val="3F5F4471"/>
    <w:rsid w:val="3FA51E78"/>
    <w:rsid w:val="3FC40205"/>
    <w:rsid w:val="3FC926DC"/>
    <w:rsid w:val="3FE24677"/>
    <w:rsid w:val="3FFF04B0"/>
    <w:rsid w:val="401A5EF0"/>
    <w:rsid w:val="402F4988"/>
    <w:rsid w:val="405F54C4"/>
    <w:rsid w:val="408771D7"/>
    <w:rsid w:val="40891574"/>
    <w:rsid w:val="408E1FCA"/>
    <w:rsid w:val="409059C0"/>
    <w:rsid w:val="40AF5E8F"/>
    <w:rsid w:val="40BF2021"/>
    <w:rsid w:val="40FD44FE"/>
    <w:rsid w:val="410D54FF"/>
    <w:rsid w:val="411D3F96"/>
    <w:rsid w:val="41217D68"/>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1270B5"/>
    <w:rsid w:val="44190C7C"/>
    <w:rsid w:val="4422096E"/>
    <w:rsid w:val="444157D5"/>
    <w:rsid w:val="44833717"/>
    <w:rsid w:val="44A5291F"/>
    <w:rsid w:val="44C223A4"/>
    <w:rsid w:val="44CE7E89"/>
    <w:rsid w:val="44EB5176"/>
    <w:rsid w:val="45052B0C"/>
    <w:rsid w:val="451A48EF"/>
    <w:rsid w:val="451B2AE2"/>
    <w:rsid w:val="451D5F36"/>
    <w:rsid w:val="452A4198"/>
    <w:rsid w:val="45341E5B"/>
    <w:rsid w:val="454A41A9"/>
    <w:rsid w:val="454F1443"/>
    <w:rsid w:val="45596180"/>
    <w:rsid w:val="45635018"/>
    <w:rsid w:val="459C3A52"/>
    <w:rsid w:val="45A61A3F"/>
    <w:rsid w:val="45CE25C8"/>
    <w:rsid w:val="45D060B6"/>
    <w:rsid w:val="45E2131C"/>
    <w:rsid w:val="45F32BDA"/>
    <w:rsid w:val="460725C0"/>
    <w:rsid w:val="460D54F2"/>
    <w:rsid w:val="46160757"/>
    <w:rsid w:val="46182051"/>
    <w:rsid w:val="46511F57"/>
    <w:rsid w:val="465653EA"/>
    <w:rsid w:val="465B0DD6"/>
    <w:rsid w:val="465C2B7E"/>
    <w:rsid w:val="466678D8"/>
    <w:rsid w:val="46681CC5"/>
    <w:rsid w:val="466E7DF3"/>
    <w:rsid w:val="46722845"/>
    <w:rsid w:val="46854413"/>
    <w:rsid w:val="46AA3BAF"/>
    <w:rsid w:val="46CA2A30"/>
    <w:rsid w:val="46E55EA9"/>
    <w:rsid w:val="46E903F6"/>
    <w:rsid w:val="4702061D"/>
    <w:rsid w:val="470F50AF"/>
    <w:rsid w:val="471A08BE"/>
    <w:rsid w:val="472D380E"/>
    <w:rsid w:val="473A49F4"/>
    <w:rsid w:val="473B610C"/>
    <w:rsid w:val="47407861"/>
    <w:rsid w:val="4756581D"/>
    <w:rsid w:val="477E34E4"/>
    <w:rsid w:val="4791799F"/>
    <w:rsid w:val="479428F1"/>
    <w:rsid w:val="47BE0861"/>
    <w:rsid w:val="47ED3CA2"/>
    <w:rsid w:val="4803315E"/>
    <w:rsid w:val="480E5331"/>
    <w:rsid w:val="481467FD"/>
    <w:rsid w:val="482F079F"/>
    <w:rsid w:val="483010A5"/>
    <w:rsid w:val="48334E31"/>
    <w:rsid w:val="483C0786"/>
    <w:rsid w:val="483F7A21"/>
    <w:rsid w:val="48550397"/>
    <w:rsid w:val="4865747A"/>
    <w:rsid w:val="48856AA8"/>
    <w:rsid w:val="488A3975"/>
    <w:rsid w:val="4897562F"/>
    <w:rsid w:val="48CB40E1"/>
    <w:rsid w:val="48D51D8B"/>
    <w:rsid w:val="48D9107A"/>
    <w:rsid w:val="48E41C5A"/>
    <w:rsid w:val="49130208"/>
    <w:rsid w:val="49392584"/>
    <w:rsid w:val="493B6AAC"/>
    <w:rsid w:val="49675503"/>
    <w:rsid w:val="49700CFC"/>
    <w:rsid w:val="497C39F6"/>
    <w:rsid w:val="498D060A"/>
    <w:rsid w:val="49BC5471"/>
    <w:rsid w:val="49CF6205"/>
    <w:rsid w:val="49DA04FD"/>
    <w:rsid w:val="49DA5D92"/>
    <w:rsid w:val="49DD0F1D"/>
    <w:rsid w:val="49E20D34"/>
    <w:rsid w:val="4A1324CB"/>
    <w:rsid w:val="4A1677E0"/>
    <w:rsid w:val="4A1A4DC2"/>
    <w:rsid w:val="4A38409F"/>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01F01"/>
    <w:rsid w:val="4B8143F2"/>
    <w:rsid w:val="4B9565DB"/>
    <w:rsid w:val="4BA9289B"/>
    <w:rsid w:val="4BC624A8"/>
    <w:rsid w:val="4BED5700"/>
    <w:rsid w:val="4BF54DFA"/>
    <w:rsid w:val="4C272002"/>
    <w:rsid w:val="4C51523E"/>
    <w:rsid w:val="4C6961B4"/>
    <w:rsid w:val="4C8B0A56"/>
    <w:rsid w:val="4C9512AC"/>
    <w:rsid w:val="4CBB4118"/>
    <w:rsid w:val="4CBF4CEF"/>
    <w:rsid w:val="4CD527C8"/>
    <w:rsid w:val="4CD74D54"/>
    <w:rsid w:val="4CDC10F5"/>
    <w:rsid w:val="4CE67327"/>
    <w:rsid w:val="4CEB61EE"/>
    <w:rsid w:val="4CFF0540"/>
    <w:rsid w:val="4D465B59"/>
    <w:rsid w:val="4D506F55"/>
    <w:rsid w:val="4D5E1FDB"/>
    <w:rsid w:val="4D640D09"/>
    <w:rsid w:val="4D6C0912"/>
    <w:rsid w:val="4D7C205D"/>
    <w:rsid w:val="4D934E46"/>
    <w:rsid w:val="4D9D220A"/>
    <w:rsid w:val="4DAB5909"/>
    <w:rsid w:val="4DCD56A8"/>
    <w:rsid w:val="4DFD1E86"/>
    <w:rsid w:val="4E097ACA"/>
    <w:rsid w:val="4E0B01FE"/>
    <w:rsid w:val="4E4E3891"/>
    <w:rsid w:val="4E5E2191"/>
    <w:rsid w:val="4E7B64C2"/>
    <w:rsid w:val="4E7D08B0"/>
    <w:rsid w:val="4E9D1C1C"/>
    <w:rsid w:val="4E9F0C0D"/>
    <w:rsid w:val="4EA75F3A"/>
    <w:rsid w:val="4EA872FB"/>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7E6728"/>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344E53"/>
    <w:rsid w:val="515E2842"/>
    <w:rsid w:val="51694722"/>
    <w:rsid w:val="5190720E"/>
    <w:rsid w:val="51C621E0"/>
    <w:rsid w:val="51D05EF0"/>
    <w:rsid w:val="51E63EA3"/>
    <w:rsid w:val="51F6040A"/>
    <w:rsid w:val="52063118"/>
    <w:rsid w:val="52A9097C"/>
    <w:rsid w:val="52B54EDC"/>
    <w:rsid w:val="52C939F0"/>
    <w:rsid w:val="52D92A71"/>
    <w:rsid w:val="52EC44CE"/>
    <w:rsid w:val="53096FB7"/>
    <w:rsid w:val="5317448F"/>
    <w:rsid w:val="53231B39"/>
    <w:rsid w:val="532E3271"/>
    <w:rsid w:val="533539DF"/>
    <w:rsid w:val="53653F46"/>
    <w:rsid w:val="538439FF"/>
    <w:rsid w:val="53900643"/>
    <w:rsid w:val="5392540C"/>
    <w:rsid w:val="539B3654"/>
    <w:rsid w:val="53B20924"/>
    <w:rsid w:val="53B3034F"/>
    <w:rsid w:val="53C8261C"/>
    <w:rsid w:val="53CD2711"/>
    <w:rsid w:val="540A11ED"/>
    <w:rsid w:val="543C6045"/>
    <w:rsid w:val="54442A7B"/>
    <w:rsid w:val="545C4EB6"/>
    <w:rsid w:val="54721B42"/>
    <w:rsid w:val="54EB1C13"/>
    <w:rsid w:val="55182082"/>
    <w:rsid w:val="552D6AD5"/>
    <w:rsid w:val="5558452D"/>
    <w:rsid w:val="55646D9A"/>
    <w:rsid w:val="557E0F4D"/>
    <w:rsid w:val="557F3BEB"/>
    <w:rsid w:val="55997285"/>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706B4C"/>
    <w:rsid w:val="589C0B6F"/>
    <w:rsid w:val="58A806C6"/>
    <w:rsid w:val="58B26E94"/>
    <w:rsid w:val="58D53FE9"/>
    <w:rsid w:val="59020C98"/>
    <w:rsid w:val="5959116E"/>
    <w:rsid w:val="59811A8F"/>
    <w:rsid w:val="59A76356"/>
    <w:rsid w:val="59C53C30"/>
    <w:rsid w:val="59F519D4"/>
    <w:rsid w:val="59F85C2D"/>
    <w:rsid w:val="5A050A6E"/>
    <w:rsid w:val="5A307436"/>
    <w:rsid w:val="5A4B0CCF"/>
    <w:rsid w:val="5A9A1081"/>
    <w:rsid w:val="5ABD6DE3"/>
    <w:rsid w:val="5ABE4B4A"/>
    <w:rsid w:val="5AC52707"/>
    <w:rsid w:val="5AC7420B"/>
    <w:rsid w:val="5AEC7070"/>
    <w:rsid w:val="5B0C0D1E"/>
    <w:rsid w:val="5B1001B5"/>
    <w:rsid w:val="5B34668A"/>
    <w:rsid w:val="5B505F2C"/>
    <w:rsid w:val="5B520346"/>
    <w:rsid w:val="5B53605F"/>
    <w:rsid w:val="5B6031DF"/>
    <w:rsid w:val="5B691334"/>
    <w:rsid w:val="5B811F6C"/>
    <w:rsid w:val="5B966550"/>
    <w:rsid w:val="5BA832AB"/>
    <w:rsid w:val="5BCF6F3C"/>
    <w:rsid w:val="5BD55463"/>
    <w:rsid w:val="5BD64EC0"/>
    <w:rsid w:val="5BDB4983"/>
    <w:rsid w:val="5BFB1FB9"/>
    <w:rsid w:val="5C2C7467"/>
    <w:rsid w:val="5C762B57"/>
    <w:rsid w:val="5C7D3080"/>
    <w:rsid w:val="5C7E0D7E"/>
    <w:rsid w:val="5CA409DB"/>
    <w:rsid w:val="5CB30722"/>
    <w:rsid w:val="5CC6567E"/>
    <w:rsid w:val="5CCA3BA2"/>
    <w:rsid w:val="5CD77A98"/>
    <w:rsid w:val="5CF47502"/>
    <w:rsid w:val="5D274F13"/>
    <w:rsid w:val="5D3E0BA9"/>
    <w:rsid w:val="5D53665D"/>
    <w:rsid w:val="5D690E03"/>
    <w:rsid w:val="5D6935B6"/>
    <w:rsid w:val="5D8901AE"/>
    <w:rsid w:val="5D8B2FDB"/>
    <w:rsid w:val="5D9E4E77"/>
    <w:rsid w:val="5DBA4DD2"/>
    <w:rsid w:val="5DC32F9C"/>
    <w:rsid w:val="5DCF2540"/>
    <w:rsid w:val="5DDE0A36"/>
    <w:rsid w:val="5DE41BFC"/>
    <w:rsid w:val="5DE9733D"/>
    <w:rsid w:val="5DED6180"/>
    <w:rsid w:val="5E08794E"/>
    <w:rsid w:val="5E3677AF"/>
    <w:rsid w:val="5E4C0BFA"/>
    <w:rsid w:val="5E85744A"/>
    <w:rsid w:val="5E9D79FE"/>
    <w:rsid w:val="5EA4369B"/>
    <w:rsid w:val="5ECE0FCC"/>
    <w:rsid w:val="5F0F7B0F"/>
    <w:rsid w:val="5F1D3C82"/>
    <w:rsid w:val="5F341672"/>
    <w:rsid w:val="5FB2630F"/>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BA072E"/>
    <w:rsid w:val="61BB4467"/>
    <w:rsid w:val="61CD1231"/>
    <w:rsid w:val="61D740F7"/>
    <w:rsid w:val="6228683D"/>
    <w:rsid w:val="622D3184"/>
    <w:rsid w:val="623A79A9"/>
    <w:rsid w:val="625B5CA9"/>
    <w:rsid w:val="62756CE9"/>
    <w:rsid w:val="6294722E"/>
    <w:rsid w:val="62CE456E"/>
    <w:rsid w:val="62E56056"/>
    <w:rsid w:val="63003347"/>
    <w:rsid w:val="63023C14"/>
    <w:rsid w:val="63193A39"/>
    <w:rsid w:val="63295801"/>
    <w:rsid w:val="634D713D"/>
    <w:rsid w:val="636D2F3A"/>
    <w:rsid w:val="63771C40"/>
    <w:rsid w:val="63776804"/>
    <w:rsid w:val="638B6757"/>
    <w:rsid w:val="63985DD2"/>
    <w:rsid w:val="639E2905"/>
    <w:rsid w:val="63AD2418"/>
    <w:rsid w:val="63F65FBD"/>
    <w:rsid w:val="642F4426"/>
    <w:rsid w:val="64304B37"/>
    <w:rsid w:val="643323DD"/>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C1E3C"/>
    <w:rsid w:val="65DC5FE6"/>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E3981"/>
    <w:rsid w:val="66ED6329"/>
    <w:rsid w:val="66EF6874"/>
    <w:rsid w:val="66F531AA"/>
    <w:rsid w:val="66F608B5"/>
    <w:rsid w:val="671E3A97"/>
    <w:rsid w:val="6721791E"/>
    <w:rsid w:val="67271ECB"/>
    <w:rsid w:val="672A6B2F"/>
    <w:rsid w:val="6777089F"/>
    <w:rsid w:val="67C76B90"/>
    <w:rsid w:val="67D475FA"/>
    <w:rsid w:val="67FF4466"/>
    <w:rsid w:val="68011EEA"/>
    <w:rsid w:val="6817492F"/>
    <w:rsid w:val="68733E51"/>
    <w:rsid w:val="68920D3E"/>
    <w:rsid w:val="68BA4B9D"/>
    <w:rsid w:val="68DB44E9"/>
    <w:rsid w:val="68E44CD3"/>
    <w:rsid w:val="68F71A19"/>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C6038D"/>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650B5"/>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B0119C"/>
    <w:rsid w:val="6DBC0C33"/>
    <w:rsid w:val="6DC34E36"/>
    <w:rsid w:val="6DC94F76"/>
    <w:rsid w:val="6DCE38C7"/>
    <w:rsid w:val="6DD8597B"/>
    <w:rsid w:val="6DED3E1E"/>
    <w:rsid w:val="6E057977"/>
    <w:rsid w:val="6E1A25DF"/>
    <w:rsid w:val="6E2C0D7B"/>
    <w:rsid w:val="6E2C2401"/>
    <w:rsid w:val="6E3B50EF"/>
    <w:rsid w:val="6E4E2C42"/>
    <w:rsid w:val="6E5227E6"/>
    <w:rsid w:val="6E680A74"/>
    <w:rsid w:val="6E932723"/>
    <w:rsid w:val="6E9442EC"/>
    <w:rsid w:val="6E9C4620"/>
    <w:rsid w:val="6EEB2B8B"/>
    <w:rsid w:val="6EF10C0B"/>
    <w:rsid w:val="6F246A6B"/>
    <w:rsid w:val="6F266E28"/>
    <w:rsid w:val="6F437689"/>
    <w:rsid w:val="6F5959E9"/>
    <w:rsid w:val="6F654AB4"/>
    <w:rsid w:val="6F7715DE"/>
    <w:rsid w:val="6F7D4D72"/>
    <w:rsid w:val="6F7E1F74"/>
    <w:rsid w:val="6F9B47D1"/>
    <w:rsid w:val="6FB12692"/>
    <w:rsid w:val="6FBF6389"/>
    <w:rsid w:val="6FC20BAA"/>
    <w:rsid w:val="6FC753E3"/>
    <w:rsid w:val="6FEB653F"/>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3D20BC"/>
    <w:rsid w:val="73531DC1"/>
    <w:rsid w:val="73B65107"/>
    <w:rsid w:val="73D576DE"/>
    <w:rsid w:val="73D95329"/>
    <w:rsid w:val="73E9784B"/>
    <w:rsid w:val="73F0718E"/>
    <w:rsid w:val="73FC6321"/>
    <w:rsid w:val="74070CA0"/>
    <w:rsid w:val="740A2040"/>
    <w:rsid w:val="744A4960"/>
    <w:rsid w:val="747A3300"/>
    <w:rsid w:val="7481099D"/>
    <w:rsid w:val="748E118B"/>
    <w:rsid w:val="74B57A32"/>
    <w:rsid w:val="74D64864"/>
    <w:rsid w:val="74E16D8B"/>
    <w:rsid w:val="74E87DC9"/>
    <w:rsid w:val="75151909"/>
    <w:rsid w:val="751B76E8"/>
    <w:rsid w:val="751C632F"/>
    <w:rsid w:val="753D0E1E"/>
    <w:rsid w:val="755D712B"/>
    <w:rsid w:val="75871A0B"/>
    <w:rsid w:val="75991092"/>
    <w:rsid w:val="759B5E27"/>
    <w:rsid w:val="75C04FAC"/>
    <w:rsid w:val="75C24137"/>
    <w:rsid w:val="75E623C5"/>
    <w:rsid w:val="761335AB"/>
    <w:rsid w:val="76373B59"/>
    <w:rsid w:val="76403AE2"/>
    <w:rsid w:val="76562FB6"/>
    <w:rsid w:val="765B6B67"/>
    <w:rsid w:val="765F6F55"/>
    <w:rsid w:val="768D081B"/>
    <w:rsid w:val="769B5423"/>
    <w:rsid w:val="76B356B1"/>
    <w:rsid w:val="76D600D5"/>
    <w:rsid w:val="772D2EED"/>
    <w:rsid w:val="774D70B5"/>
    <w:rsid w:val="77711DFB"/>
    <w:rsid w:val="77791211"/>
    <w:rsid w:val="778B06B0"/>
    <w:rsid w:val="77A870F8"/>
    <w:rsid w:val="77C853D2"/>
    <w:rsid w:val="77CB6284"/>
    <w:rsid w:val="77CF1A6C"/>
    <w:rsid w:val="77D54C59"/>
    <w:rsid w:val="77D9063B"/>
    <w:rsid w:val="78474B5C"/>
    <w:rsid w:val="78CB1FE4"/>
    <w:rsid w:val="78FC7191"/>
    <w:rsid w:val="79072005"/>
    <w:rsid w:val="790F66E7"/>
    <w:rsid w:val="796558AF"/>
    <w:rsid w:val="79714322"/>
    <w:rsid w:val="79925588"/>
    <w:rsid w:val="79CF3A0C"/>
    <w:rsid w:val="79E84AA0"/>
    <w:rsid w:val="79F253C4"/>
    <w:rsid w:val="79F34BAE"/>
    <w:rsid w:val="79FD1041"/>
    <w:rsid w:val="7A263D9D"/>
    <w:rsid w:val="7A2D254D"/>
    <w:rsid w:val="7A3256DD"/>
    <w:rsid w:val="7A377F78"/>
    <w:rsid w:val="7A3C22D1"/>
    <w:rsid w:val="7A6E4C98"/>
    <w:rsid w:val="7AC22E37"/>
    <w:rsid w:val="7AD803EA"/>
    <w:rsid w:val="7AE04C2F"/>
    <w:rsid w:val="7B0574E9"/>
    <w:rsid w:val="7B0715F5"/>
    <w:rsid w:val="7B091377"/>
    <w:rsid w:val="7B183135"/>
    <w:rsid w:val="7B3574AA"/>
    <w:rsid w:val="7B367327"/>
    <w:rsid w:val="7B5E2AA7"/>
    <w:rsid w:val="7B71168E"/>
    <w:rsid w:val="7B9F046E"/>
    <w:rsid w:val="7BA571A1"/>
    <w:rsid w:val="7BA84BDE"/>
    <w:rsid w:val="7BDA4C3E"/>
    <w:rsid w:val="7BED0D99"/>
    <w:rsid w:val="7BF7759F"/>
    <w:rsid w:val="7C0E5BCD"/>
    <w:rsid w:val="7C1B4A3B"/>
    <w:rsid w:val="7C2E45FA"/>
    <w:rsid w:val="7C366D83"/>
    <w:rsid w:val="7C635FD5"/>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175F2"/>
    <w:rsid w:val="7E0247C5"/>
    <w:rsid w:val="7E2146D8"/>
    <w:rsid w:val="7E2B238A"/>
    <w:rsid w:val="7E3D10ED"/>
    <w:rsid w:val="7E4B2A52"/>
    <w:rsid w:val="7E5C2FAF"/>
    <w:rsid w:val="7EA64FD4"/>
    <w:rsid w:val="7EA652E1"/>
    <w:rsid w:val="7EAD5E27"/>
    <w:rsid w:val="7EAD7C73"/>
    <w:rsid w:val="7EC8404B"/>
    <w:rsid w:val="7ED4259F"/>
    <w:rsid w:val="7ED656C1"/>
    <w:rsid w:val="7EF11A57"/>
    <w:rsid w:val="7EFC7197"/>
    <w:rsid w:val="7F1055D7"/>
    <w:rsid w:val="7F512BDD"/>
    <w:rsid w:val="7F5B6C76"/>
    <w:rsid w:val="7F985DEA"/>
    <w:rsid w:val="7FA01DE8"/>
    <w:rsid w:val="7FA254D6"/>
    <w:rsid w:val="7FAA6926"/>
    <w:rsid w:val="7FE5733F"/>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536239"/>
    <w:rsid w:val="00623D03"/>
    <w:rsid w:val="0065033E"/>
    <w:rsid w:val="006515AF"/>
    <w:rsid w:val="0065715F"/>
    <w:rsid w:val="00772FC2"/>
    <w:rsid w:val="008F2DF3"/>
    <w:rsid w:val="009E405C"/>
    <w:rsid w:val="00A13D1E"/>
    <w:rsid w:val="00AF55D7"/>
    <w:rsid w:val="00B223D4"/>
    <w:rsid w:val="00BC462D"/>
    <w:rsid w:val="00C5162E"/>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3006</Words>
  <Characters>17135</Characters>
  <Lines>142</Lines>
  <Paragraphs>40</Paragraphs>
  <TotalTime>0</TotalTime>
  <ScaleCrop>false</ScaleCrop>
  <LinksUpToDate>false</LinksUpToDate>
  <CharactersWithSpaces>20101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2021-10-14T11:02:00Z</dcterms:created>
  <dc:creator>Administrator</dc:creator>
  <cp:lastModifiedBy>Administrator</cp:lastModifiedBy>
  <cp:lastPrinted>2021-09-09T01:24:00Z</cp:lastPrinted>
  <dcterms:modified xsi:type="dcterms:W3CDTF">2021-10-29T09:28:09Z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E228C9FAD4514C9FBD60B28EA79ABF59</vt:lpwstr>
  </property>
</Properties>
</file>