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9"/>
        <w:rPr>
          <w:rFonts w:ascii="黑体" w:eastAsia="黑体"/>
          <w:color w:val="auto"/>
          <w:sz w:val="36"/>
          <w:szCs w:val="36"/>
          <w:highlight w:val="none"/>
        </w:rPr>
      </w:pPr>
    </w:p>
    <w:tbl>
      <w:tblPr>
        <w:tblStyle w:val="22"/>
        <w:tblW w:w="8904" w:type="dxa"/>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4"/>
      </w:tblGrid>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904" w:type="dxa"/>
            <w:tcBorders>
              <w:tl2br w:val="nil"/>
              <w:tr2bl w:val="nil"/>
            </w:tcBorders>
            <w:noWrap w:val="0"/>
            <w:vAlign w:val="top"/>
          </w:tcPr>
          <w:p>
            <w:pPr>
              <w:jc w:val="left"/>
              <w:outlineLvl w:val="9"/>
              <w:rPr>
                <w:rFonts w:hint="eastAsia" w:ascii="宋体" w:hAnsi="宋体" w:eastAsia="宋体"/>
                <w:color w:val="auto"/>
                <w:sz w:val="36"/>
                <w:szCs w:val="36"/>
                <w:highlight w:val="none"/>
                <w:vertAlign w:val="baseline"/>
              </w:rPr>
            </w:pPr>
            <w:r>
              <w:rPr>
                <w:rFonts w:hint="eastAsia" w:ascii="宋体" w:hAnsi="宋体" w:eastAsia="宋体"/>
                <w:color w:val="auto"/>
                <w:sz w:val="36"/>
                <w:szCs w:val="36"/>
                <w:highlight w:val="none"/>
              </w:rPr>
              <w:t>安徽省交通控股集团</w:t>
            </w:r>
            <w:r>
              <w:rPr>
                <w:rFonts w:hint="eastAsia" w:ascii="宋体" w:hAnsi="宋体"/>
                <w:color w:val="auto"/>
                <w:sz w:val="36"/>
                <w:szCs w:val="36"/>
                <w:highlight w:val="none"/>
                <w:lang w:val="en-US" w:eastAsia="zh-CN"/>
              </w:rPr>
              <w:t>非招标采购</w:t>
            </w:r>
            <w:r>
              <w:rPr>
                <w:rFonts w:hint="eastAsia" w:ascii="宋体" w:hAnsi="宋体" w:eastAsia="宋体"/>
                <w:color w:val="auto"/>
                <w:sz w:val="36"/>
                <w:szCs w:val="36"/>
                <w:highlight w:val="none"/>
              </w:rPr>
              <w:t>标准文件</w:t>
            </w:r>
            <w:r>
              <w:rPr>
                <w:rFonts w:hint="eastAsia" w:ascii="宋体" w:hAnsi="宋体" w:eastAsia="宋体"/>
                <w:color w:val="auto"/>
                <w:sz w:val="36"/>
                <w:szCs w:val="36"/>
                <w:highlight w:val="none"/>
                <w:lang w:val="en-US" w:eastAsia="zh-CN"/>
              </w:rPr>
              <w:t xml:space="preserve"> </w:t>
            </w:r>
            <w:r>
              <w:rPr>
                <w:rFonts w:hint="eastAsia" w:ascii="宋体" w:hAnsi="宋体"/>
                <w:color w:val="auto"/>
                <w:sz w:val="36"/>
                <w:szCs w:val="36"/>
                <w:highlight w:val="none"/>
                <w:lang w:val="en-US" w:eastAsia="zh-CN"/>
              </w:rPr>
              <w:t xml:space="preserve"> </w:t>
            </w:r>
            <w:r>
              <w:rPr>
                <w:rFonts w:hint="eastAsia" w:ascii="宋体" w:hAnsi="宋体" w:eastAsia="宋体"/>
                <w:color w:val="auto"/>
                <w:sz w:val="36"/>
                <w:szCs w:val="36"/>
                <w:highlight w:val="none"/>
                <w:lang w:val="en-US" w:eastAsia="zh-CN"/>
              </w:rPr>
              <w:t xml:space="preserve"> </w:t>
            </w:r>
            <w:r>
              <w:rPr>
                <w:rFonts w:hint="eastAsia" w:ascii="Times New Roman" w:hAnsi="Times New Roman" w:eastAsia="宋体" w:cs="Times New Roman"/>
                <w:b/>
                <w:bCs/>
                <w:color w:val="auto"/>
                <w:sz w:val="36"/>
                <w:szCs w:val="36"/>
                <w:highlight w:val="none"/>
                <w:lang w:val="en-US" w:eastAsia="zh-CN"/>
              </w:rPr>
              <w:t>XB</w:t>
            </w:r>
            <w:r>
              <w:rPr>
                <w:rFonts w:hint="default" w:ascii="Times New Roman" w:hAnsi="Times New Roman" w:eastAsia="宋体" w:cs="Times New Roman"/>
                <w:b/>
                <w:bCs/>
                <w:color w:val="auto"/>
                <w:sz w:val="36"/>
                <w:szCs w:val="36"/>
                <w:highlight w:val="none"/>
                <w:lang w:val="en-US" w:eastAsia="zh-CN"/>
              </w:rPr>
              <w:t>-</w:t>
            </w:r>
            <w:r>
              <w:rPr>
                <w:rFonts w:hint="eastAsia" w:ascii="Times New Roman" w:hAnsi="Times New Roman" w:eastAsia="宋体" w:cs="Times New Roman"/>
                <w:b/>
                <w:bCs/>
                <w:color w:val="auto"/>
                <w:sz w:val="36"/>
                <w:szCs w:val="36"/>
                <w:highlight w:val="none"/>
                <w:lang w:val="en-US" w:eastAsia="zh-CN"/>
              </w:rPr>
              <w:t>FW</w:t>
            </w:r>
            <w:r>
              <w:rPr>
                <w:rFonts w:hint="default" w:ascii="Times New Roman" w:hAnsi="Times New Roman" w:eastAsia="宋体" w:cs="Times New Roman"/>
                <w:b/>
                <w:bCs/>
                <w:color w:val="auto"/>
                <w:sz w:val="36"/>
                <w:szCs w:val="36"/>
                <w:highlight w:val="none"/>
                <w:lang w:val="en-US" w:eastAsia="zh-CN"/>
              </w:rPr>
              <w:t>-1</w:t>
            </w:r>
          </w:p>
        </w:tc>
      </w:tr>
    </w:tbl>
    <w:p>
      <w:pPr>
        <w:jc w:val="both"/>
        <w:outlineLvl w:val="9"/>
        <w:rPr>
          <w:rFonts w:hint="eastAsia" w:ascii="宋体" w:hAnsi="宋体" w:eastAsia="宋体"/>
          <w:color w:val="auto"/>
          <w:sz w:val="36"/>
          <w:szCs w:val="36"/>
          <w:highlight w:val="none"/>
          <w:lang w:val="en-US" w:eastAsia="zh-CN"/>
        </w:rPr>
      </w:pPr>
    </w:p>
    <w:p>
      <w:pPr>
        <w:jc w:val="both"/>
        <w:outlineLvl w:val="9"/>
        <w:rPr>
          <w:rFonts w:hint="eastAsia" w:ascii="宋体" w:hAnsi="宋体" w:eastAsia="宋体"/>
          <w:color w:val="auto"/>
          <w:sz w:val="36"/>
          <w:szCs w:val="36"/>
          <w:highlight w:val="none"/>
          <w:lang w:val="en-US" w:eastAsia="zh-CN"/>
        </w:rPr>
      </w:pPr>
    </w:p>
    <w:p>
      <w:pPr>
        <w:snapToGrid w:val="0"/>
        <w:spacing w:line="276" w:lineRule="auto"/>
        <w:jc w:val="center"/>
        <w:outlineLvl w:val="9"/>
        <w:rPr>
          <w:rFonts w:hint="eastAsia" w:ascii="黑体" w:eastAsia="黑体"/>
          <w:color w:val="auto"/>
          <w:sz w:val="72"/>
          <w:szCs w:val="72"/>
          <w:highlight w:val="none"/>
        </w:rPr>
      </w:pPr>
      <w:r>
        <w:rPr>
          <w:rFonts w:hint="eastAsia" w:ascii="黑体" w:eastAsia="黑体"/>
          <w:color w:val="auto"/>
          <w:sz w:val="72"/>
          <w:szCs w:val="72"/>
          <w:highlight w:val="none"/>
          <w:lang w:val="en-US" w:eastAsia="zh-CN"/>
        </w:rPr>
        <w:t>服务类询比采购标准文件</w:t>
      </w:r>
      <w:r>
        <w:rPr>
          <w:rFonts w:hint="eastAsia" w:ascii="黑体" w:eastAsia="黑体"/>
          <w:color w:val="auto"/>
          <w:sz w:val="72"/>
          <w:szCs w:val="72"/>
          <w:highlight w:val="none"/>
        </w:rPr>
        <w:t>（试行）</w:t>
      </w:r>
    </w:p>
    <w:p>
      <w:pPr>
        <w:jc w:val="center"/>
        <w:outlineLvl w:val="9"/>
        <w:rPr>
          <w:rFonts w:ascii="楷体_GB2312" w:hAnsi="宋体" w:eastAsia="楷体_GB2312"/>
          <w:color w:val="auto"/>
          <w:sz w:val="48"/>
          <w:szCs w:val="48"/>
          <w:highlight w:val="none"/>
        </w:rPr>
      </w:pPr>
      <w:r>
        <w:rPr>
          <w:rFonts w:hint="eastAsia" w:ascii="楷体_GB2312" w:hAnsi="宋体" w:eastAsia="楷体_GB2312"/>
          <w:color w:val="auto"/>
          <w:sz w:val="48"/>
          <w:szCs w:val="48"/>
          <w:highlight w:val="none"/>
        </w:rPr>
        <w:t>（20</w:t>
      </w:r>
      <w:r>
        <w:rPr>
          <w:rFonts w:hint="eastAsia" w:ascii="楷体_GB2312" w:hAnsi="宋体" w:eastAsia="楷体_GB2312"/>
          <w:color w:val="auto"/>
          <w:sz w:val="48"/>
          <w:szCs w:val="48"/>
          <w:highlight w:val="none"/>
          <w:lang w:val="en-US" w:eastAsia="zh-CN"/>
        </w:rPr>
        <w:t>21</w:t>
      </w:r>
      <w:r>
        <w:rPr>
          <w:rFonts w:hint="eastAsia" w:ascii="楷体_GB2312" w:hAnsi="宋体" w:eastAsia="楷体_GB2312"/>
          <w:color w:val="auto"/>
          <w:sz w:val="48"/>
          <w:szCs w:val="48"/>
          <w:highlight w:val="none"/>
        </w:rPr>
        <w:t>年版）</w:t>
      </w:r>
    </w:p>
    <w:p>
      <w:pPr>
        <w:autoSpaceDE w:val="0"/>
        <w:autoSpaceDN w:val="0"/>
        <w:spacing w:line="360" w:lineRule="auto"/>
        <w:jc w:val="center"/>
        <w:rPr>
          <w:rFonts w:hint="default" w:ascii="Times New Roman" w:hAnsi="Times New Roman" w:cs="Times New Roman"/>
          <w:b/>
          <w:bCs/>
          <w:color w:val="auto"/>
          <w:sz w:val="40"/>
          <w:szCs w:val="48"/>
          <w:highlight w:val="none"/>
        </w:rPr>
      </w:pPr>
    </w:p>
    <w:p>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黑体" w:cs="Times New Roman"/>
          <w:b/>
          <w:bCs/>
          <w:color w:val="auto"/>
          <w:sz w:val="48"/>
          <w:szCs w:val="56"/>
          <w:highlight w:val="none"/>
        </w:rPr>
        <w:br w:type="page"/>
      </w:r>
    </w:p>
    <w:p>
      <w:pPr>
        <w:widowControl/>
        <w:ind w:firstLine="0" w:firstLineChars="0"/>
        <w:jc w:val="center"/>
        <w:rPr>
          <w:rFonts w:hint="default" w:ascii="Times New Roman" w:hAnsi="Times New Roman" w:eastAsia="宋体" w:cs="Times New Roman"/>
          <w:color w:val="auto"/>
          <w:sz w:val="24"/>
          <w:szCs w:val="24"/>
          <w:highlight w:val="none"/>
        </w:rPr>
      </w:pPr>
    </w:p>
    <w:p>
      <w:pPr>
        <w:widowControl/>
        <w:ind w:firstLine="0" w:firstLineChars="0"/>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eastAsia="宋体" w:cs="Times New Roman"/>
          <w:b/>
          <w:bCs/>
          <w:color w:val="auto"/>
          <w:kern w:val="0"/>
          <w:sz w:val="44"/>
          <w:szCs w:val="44"/>
          <w:highlight w:val="none"/>
          <w:u w:val="single"/>
          <w:lang w:val="en-US" w:eastAsia="zh-CN"/>
        </w:rPr>
        <w:t>拟转让校车公司股权</w:t>
      </w:r>
      <w:r>
        <w:rPr>
          <w:rFonts w:hint="eastAsia" w:ascii="Times New Roman" w:hAnsi="Times New Roman" w:eastAsia="宋体" w:cs="Times New Roman"/>
          <w:b/>
          <w:bCs/>
          <w:color w:val="auto"/>
          <w:kern w:val="0"/>
          <w:sz w:val="44"/>
          <w:szCs w:val="44"/>
          <w:highlight w:val="none"/>
          <w:u w:val="single"/>
          <w:lang w:val="en-US" w:eastAsia="zh-CN"/>
        </w:rPr>
        <w:t>所涉</w:t>
      </w:r>
      <w:r>
        <w:rPr>
          <w:rFonts w:hint="default" w:ascii="Times New Roman" w:hAnsi="Times New Roman" w:eastAsia="宋体" w:cs="Times New Roman"/>
          <w:b/>
          <w:bCs/>
          <w:color w:val="auto"/>
          <w:kern w:val="0"/>
          <w:sz w:val="44"/>
          <w:szCs w:val="44"/>
          <w:highlight w:val="none"/>
          <w:u w:val="single"/>
          <w:lang w:val="en-US" w:eastAsia="zh-CN"/>
        </w:rPr>
        <w:t>资产评估</w:t>
      </w:r>
      <w:r>
        <w:rPr>
          <w:rFonts w:hint="eastAsia" w:ascii="Times New Roman" w:hAnsi="Times New Roman" w:eastAsia="宋体" w:cs="Times New Roman"/>
          <w:b/>
          <w:bCs/>
          <w:color w:val="auto"/>
          <w:kern w:val="0"/>
          <w:sz w:val="44"/>
          <w:szCs w:val="44"/>
          <w:highlight w:val="none"/>
          <w:u w:val="single"/>
          <w:lang w:val="en-US" w:eastAsia="zh-CN"/>
        </w:rPr>
        <w:t>中介服务机构选聘</w:t>
      </w:r>
      <w:r>
        <w:rPr>
          <w:rFonts w:hint="default" w:ascii="Times New Roman" w:hAnsi="Times New Roman" w:eastAsia="宋体" w:cs="Times New Roman"/>
          <w:b/>
          <w:bCs/>
          <w:color w:val="auto"/>
          <w:kern w:val="0"/>
          <w:sz w:val="44"/>
          <w:szCs w:val="44"/>
          <w:highlight w:val="none"/>
          <w:u w:val="single"/>
          <w:lang w:val="en-US" w:eastAsia="zh-CN"/>
        </w:rPr>
        <w:t>项目</w:t>
      </w:r>
      <w:r>
        <w:rPr>
          <w:rFonts w:hint="default" w:ascii="Times New Roman" w:hAnsi="Times New Roman" w:eastAsia="宋体" w:cs="Times New Roman"/>
          <w:b/>
          <w:bCs/>
          <w:color w:val="auto"/>
          <w:kern w:val="0"/>
          <w:sz w:val="44"/>
          <w:szCs w:val="44"/>
          <w:highlight w:val="none"/>
          <w:lang w:val="en-US" w:eastAsia="zh-CN" w:bidi="ar-SA"/>
        </w:rPr>
        <w:t>询比</w:t>
      </w:r>
    </w:p>
    <w:p>
      <w:pPr>
        <w:spacing w:line="540" w:lineRule="exact"/>
        <w:ind w:firstLine="420"/>
        <w:rPr>
          <w:rFonts w:hint="default" w:ascii="Times New Roman" w:hAnsi="Times New Roman" w:cs="Times New Roman"/>
          <w:color w:val="auto"/>
          <w:szCs w:val="21"/>
          <w:highlight w:val="none"/>
        </w:rPr>
      </w:pPr>
    </w:p>
    <w:p>
      <w:pPr>
        <w:pStyle w:val="12"/>
        <w:rPr>
          <w:rFonts w:hint="default" w:ascii="Times New Roman" w:hAnsi="Times New Roman" w:cs="Times New Roman"/>
          <w:color w:val="auto"/>
          <w:szCs w:val="21"/>
          <w:highlight w:val="none"/>
        </w:rPr>
      </w:pPr>
    </w:p>
    <w:p>
      <w:pPr>
        <w:pStyle w:val="12"/>
        <w:rPr>
          <w:rFonts w:hint="default" w:ascii="Times New Roman" w:hAnsi="Times New Roman" w:cs="Times New Roman"/>
          <w:color w:val="auto"/>
          <w:szCs w:val="21"/>
          <w:highlight w:val="none"/>
        </w:rPr>
      </w:pPr>
    </w:p>
    <w:p>
      <w:pPr>
        <w:pStyle w:val="1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sz w:val="32"/>
          <w:szCs w:val="32"/>
          <w:u w:val="single"/>
        </w:rPr>
        <w:t>安徽省</w:t>
      </w:r>
      <w:r>
        <w:rPr>
          <w:rFonts w:hint="eastAsia" w:ascii="Times New Roman" w:hAnsi="Times New Roman" w:eastAsia="黑体" w:cs="Times New Roman"/>
          <w:sz w:val="32"/>
          <w:szCs w:val="32"/>
          <w:u w:val="single"/>
          <w:lang w:eastAsia="zh-CN"/>
        </w:rPr>
        <w:t>交运集团</w:t>
      </w:r>
      <w:r>
        <w:rPr>
          <w:rFonts w:hint="eastAsia" w:ascii="Times New Roman" w:hAnsi="Times New Roman" w:eastAsia="黑体" w:cs="Times New Roman"/>
          <w:sz w:val="32"/>
          <w:szCs w:val="32"/>
          <w:u w:val="single"/>
        </w:rPr>
        <w:t>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lang w:val="en-US" w:eastAsia="zh-CN"/>
        </w:rPr>
        <w:t>202</w:t>
      </w:r>
      <w:r>
        <w:rPr>
          <w:rFonts w:hint="default" w:ascii="Times New Roman" w:hAnsi="Times New Roman" w:eastAsia="黑体" w:cs="Times New Roman"/>
          <w:color w:val="auto"/>
          <w:sz w:val="32"/>
          <w:szCs w:val="32"/>
          <w:highlight w:val="none"/>
          <w:u w:val="single"/>
          <w:lang w:val="en-CA" w:eastAsia="zh-CN"/>
        </w:rPr>
        <w:t>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eastAsia="黑体" w:cs="Times New Roman"/>
          <w:color w:val="auto"/>
          <w:sz w:val="32"/>
          <w:szCs w:val="32"/>
          <w:highlight w:val="none"/>
          <w:u w:val="single"/>
          <w:lang w:val="en-CA" w:eastAsia="zh-CN"/>
        </w:rPr>
        <w:t>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lang w:val="en-CA" w:eastAsia="zh-CN"/>
        </w:rPr>
        <w:t>4</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3"/>
        <w:tabs>
          <w:tab w:val="right" w:leader="dot" w:pos="8312"/>
        </w:tabs>
        <w:jc w:val="center"/>
        <w:rPr>
          <w:rFonts w:ascii="Times New Roman" w:hAnsi="Times New Roman" w:eastAsia="宋体" w:cs="Times New Roman"/>
          <w:color w:val="auto"/>
          <w:sz w:val="28"/>
          <w:szCs w:val="28"/>
          <w:highlight w:val="none"/>
        </w:rPr>
      </w:pPr>
      <w:bookmarkStart w:id="0" w:name="_Toc23500_WPSOffice_Type1"/>
      <w:r>
        <w:rPr>
          <w:rFonts w:ascii="Times New Roman" w:hAnsi="Times New Roman" w:eastAsia="宋体" w:cs="Times New Roman"/>
          <w:color w:val="auto"/>
          <w:sz w:val="28"/>
          <w:szCs w:val="28"/>
          <w:highlight w:val="none"/>
        </w:rPr>
        <w:t>目</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录</w:t>
      </w:r>
    </w:p>
    <w:p>
      <w:pPr>
        <w:pStyle w:val="33"/>
        <w:tabs>
          <w:tab w:val="right" w:leader="dot" w:pos="8312"/>
        </w:tabs>
        <w:rPr>
          <w:rFonts w:hint="eastAsia"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_Toc2405_WPSOffice_Level1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f8581462-9cdb-487f-b714-a753f3714547}"/>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采购公告（适用于公开询比）</w:t>
          </w:r>
        </w:sdtContent>
      </w:sdt>
      <w:r>
        <w:rPr>
          <w:rFonts w:ascii="Times New Roman" w:hAnsi="Times New Roman" w:eastAsia="宋体" w:cs="Times New Roman"/>
          <w:color w:val="auto"/>
          <w:sz w:val="28"/>
          <w:szCs w:val="28"/>
          <w:highlight w:val="none"/>
        </w:rPr>
        <w:tab/>
      </w:r>
      <w:bookmarkStart w:id="1" w:name="_Toc2405_WPSOffice_Level1Page"/>
      <w:r>
        <w:rPr>
          <w:rFonts w:hint="eastAsia" w:ascii="Times New Roman" w:hAnsi="Times New Roman" w:eastAsia="宋体" w:cs="Times New Roman"/>
          <w:color w:val="auto"/>
          <w:sz w:val="28"/>
          <w:szCs w:val="28"/>
          <w:highlight w:val="none"/>
          <w:lang w:val="en-US" w:eastAsia="zh-CN"/>
        </w:rPr>
        <w:t>1</w:t>
      </w:r>
      <w:bookmarkEnd w:id="1"/>
      <w:r>
        <w:rPr>
          <w:rFonts w:ascii="Times New Roman" w:hAnsi="Times New Roman" w:eastAsia="宋体" w:cs="Times New Roman"/>
          <w:color w:val="auto"/>
          <w:sz w:val="28"/>
          <w:szCs w:val="28"/>
          <w:highlight w:val="none"/>
        </w:rPr>
        <w:fldChar w:fldCharType="end"/>
      </w:r>
    </w:p>
    <w:p>
      <w:pPr>
        <w:pStyle w:val="33"/>
        <w:tabs>
          <w:tab w:val="right" w:leader="dot" w:pos="8312"/>
        </w:tabs>
        <w:rPr>
          <w:rFonts w:hint="eastAsia"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_Toc23500_WPSOffice_Level1 </w:instrText>
      </w:r>
      <w:r>
        <w:rPr>
          <w:rFonts w:ascii="Times New Roman" w:hAnsi="Times New Roman" w:eastAsia="宋体" w:cs="Times New Roman"/>
          <w:color w:val="auto"/>
          <w:sz w:val="28"/>
          <w:szCs w:val="28"/>
          <w:highlight w:val="none"/>
        </w:rPr>
        <w:fldChar w:fldCharType="separate"/>
      </w:r>
      <w:r>
        <w:rPr>
          <w:rFonts w:ascii="Times New Roman" w:hAnsi="Times New Roman" w:eastAsia="宋体" w:cs="Times New Roman"/>
          <w:color w:val="auto"/>
          <w:sz w:val="28"/>
          <w:szCs w:val="28"/>
          <w:highlight w:val="none"/>
        </w:rPr>
        <w:fldChar w:fldCharType="end"/>
      </w: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_Toc13339_WPSOffice_Level1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bdf27d92-e4f5-4d9e-9fca-b07a32d64a96}"/>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4</w:t>
      </w:r>
    </w:p>
    <w:p>
      <w:pPr>
        <w:pStyle w:val="33"/>
        <w:tabs>
          <w:tab w:val="right" w:leader="dot" w:pos="8312"/>
        </w:tabs>
        <w:rPr>
          <w:rFonts w:hint="eastAsia"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_Toc29272_WPSOffice_Level1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e811a058-2f41-4336-a330-95198a920115}"/>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eastAsia="宋体" w:cs="Times New Roman"/>
          <w:color w:val="auto"/>
          <w:sz w:val="28"/>
          <w:szCs w:val="28"/>
          <w:highlight w:val="none"/>
        </w:rPr>
        <w:tab/>
      </w:r>
      <w:bookmarkStart w:id="2" w:name="_Toc29272_WPSOffice_Level1Page"/>
      <w:r>
        <w:rPr>
          <w:rFonts w:ascii="Times New Roman" w:hAnsi="Times New Roman" w:eastAsia="宋体" w:cs="Times New Roman"/>
          <w:color w:val="auto"/>
          <w:sz w:val="28"/>
          <w:szCs w:val="28"/>
          <w:highlight w:val="none"/>
        </w:rPr>
        <w:t>1</w:t>
      </w:r>
      <w:bookmarkEnd w:id="2"/>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0</w:t>
      </w:r>
    </w:p>
    <w:p>
      <w:pPr>
        <w:pStyle w:val="33"/>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_Toc13270_WPSOffice_Level1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84ca204a-1302-4314-9ec2-7dd9e539d80b}"/>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18</w:t>
      </w:r>
    </w:p>
    <w:p>
      <w:pPr>
        <w:pStyle w:val="33"/>
        <w:tabs>
          <w:tab w:val="right" w:leader="dot" w:pos="8312"/>
        </w:tabs>
        <w:rPr>
          <w:rFonts w:hint="default"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_Toc17834_WPSOffice_Level1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947c02ee-80f8-4d52-aa7f-7219eba1310c}"/>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25</w:t>
      </w:r>
    </w:p>
    <w:p>
      <w:pPr>
        <w:pStyle w:val="33"/>
        <w:tabs>
          <w:tab w:val="right" w:leader="dot" w:pos="8312"/>
        </w:tabs>
        <w:rPr>
          <w:color w:val="auto"/>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_Toc27766_WPSOffice_Level1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686c63b0-85a2-4b6e-b1c6-dc681fcb5cb1}"/>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fldChar w:fldCharType="end"/>
      </w:r>
      <w:bookmarkEnd w:id="0"/>
      <w:r>
        <w:rPr>
          <w:rFonts w:hint="eastAsia" w:ascii="Times New Roman" w:hAnsi="Times New Roman" w:eastAsia="宋体" w:cs="Times New Roman"/>
          <w:color w:val="auto"/>
          <w:sz w:val="28"/>
          <w:szCs w:val="28"/>
          <w:highlight w:val="none"/>
          <w:lang w:val="en-US" w:eastAsia="zh-CN"/>
        </w:rPr>
        <w:t>26</w:t>
      </w:r>
    </w:p>
    <w:p>
      <w:pPr>
        <w:spacing w:before="0" w:beforeLines="0" w:after="0" w:afterLines="0" w:line="240" w:lineRule="auto"/>
        <w:ind w:left="0" w:leftChars="0" w:right="0" w:rightChars="0" w:firstLine="0" w:firstLineChars="0"/>
        <w:jc w:val="center"/>
        <w:rPr>
          <w:rFonts w:ascii="宋体" w:hAnsi="宋体" w:eastAsia="宋体"/>
          <w:color w:val="auto"/>
          <w:sz w:val="21"/>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pStyle w:val="5"/>
        <w:spacing w:before="240" w:after="240"/>
        <w:rPr>
          <w:rFonts w:hint="default"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5"/>
        <w:spacing w:before="240" w:after="240"/>
        <w:rPr>
          <w:rFonts w:hint="default" w:ascii="Times New Roman" w:hAnsi="Times New Roman" w:eastAsia="宋体" w:cs="Times New Roman"/>
          <w:color w:val="auto"/>
          <w:highlight w:val="none"/>
        </w:rPr>
      </w:pPr>
      <w:bookmarkStart w:id="3" w:name="_Toc2405_WPSOffice_Level1"/>
      <w:r>
        <w:rPr>
          <w:rFonts w:hint="default" w:ascii="Times New Roman" w:hAnsi="Times New Roman" w:eastAsia="宋体" w:cs="Times New Roman"/>
          <w:color w:val="auto"/>
          <w:highlight w:val="none"/>
        </w:rPr>
        <w:t>采购公告</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适用于公开询比</w:t>
      </w:r>
      <w:r>
        <w:rPr>
          <w:rFonts w:hint="default" w:ascii="Times New Roman" w:hAnsi="Times New Roman" w:eastAsia="宋体" w:cs="Times New Roman"/>
          <w:color w:val="auto"/>
          <w:highlight w:val="none"/>
          <w:lang w:eastAsia="zh-CN"/>
        </w:rPr>
        <w:t>）</w:t>
      </w:r>
      <w:bookmarkEnd w:id="3"/>
    </w:p>
    <w:p>
      <w:pPr>
        <w:pStyle w:val="6"/>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 w:name="_Toc10395_WPSOffice_Level2"/>
      <w:bookmarkStart w:id="5" w:name="_Toc525632585"/>
      <w:bookmarkStart w:id="6" w:name="_Toc12765"/>
      <w:bookmarkStart w:id="7" w:name="_Toc6496_WPSOffice_Level2"/>
      <w:bookmarkStart w:id="8" w:name="_Toc4489_WPSOffice_Level2"/>
      <w:bookmarkStart w:id="9" w:name="_Toc24354_WPSOffice_Level2"/>
      <w:bookmarkStart w:id="10" w:name="_Toc13871"/>
      <w:r>
        <w:rPr>
          <w:rFonts w:hint="default" w:ascii="Times New Roman" w:hAnsi="Times New Roman" w:eastAsia="黑体" w:cs="Times New Roman"/>
          <w:bCs w:val="0"/>
          <w:color w:val="auto"/>
          <w:sz w:val="22"/>
          <w:szCs w:val="15"/>
          <w:highlight w:val="none"/>
        </w:rPr>
        <w:t>项目简介</w:t>
      </w:r>
      <w:bookmarkEnd w:id="4"/>
      <w:bookmarkEnd w:id="5"/>
      <w:bookmarkEnd w:id="6"/>
      <w:bookmarkEnd w:id="7"/>
      <w:bookmarkEnd w:id="8"/>
      <w:bookmarkEnd w:id="9"/>
      <w:bookmarkEnd w:id="10"/>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拟转让校车公司股权所涉资产评估中介服务机构选聘询比项目</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（项目编号</w:t>
      </w:r>
      <w:r>
        <w:rPr>
          <w:rFonts w:hint="eastAsia" w:ascii="宋体" w:hAnsi="宋体" w:eastAsia="宋体" w:cs="宋体"/>
          <w:color w:val="auto"/>
          <w:sz w:val="21"/>
          <w:szCs w:val="21"/>
          <w:highlight w:val="none"/>
          <w:u w:val="single"/>
          <w:lang w:val="en-CA" w:eastAsia="zh-CN"/>
        </w:rPr>
        <w:t>FW</w:t>
      </w:r>
      <w:r>
        <w:rPr>
          <w:rFonts w:hint="default" w:ascii="宋体" w:hAnsi="宋体" w:eastAsia="宋体" w:cs="宋体"/>
          <w:i w:val="0"/>
          <w:iCs w:val="0"/>
          <w:color w:val="000000"/>
          <w:kern w:val="0"/>
          <w:sz w:val="21"/>
          <w:szCs w:val="21"/>
          <w:u w:val="single"/>
          <w:lang w:val="en-CA" w:eastAsia="zh-CN" w:bidi="ar"/>
        </w:rPr>
        <w:t>PG</w:t>
      </w:r>
      <w:r>
        <w:rPr>
          <w:rFonts w:hint="default" w:ascii="宋体" w:hAnsi="宋体" w:eastAsia="宋体" w:cs="宋体"/>
          <w:i w:val="0"/>
          <w:iCs w:val="0"/>
          <w:color w:val="000000"/>
          <w:kern w:val="0"/>
          <w:sz w:val="20"/>
          <w:szCs w:val="20"/>
          <w:u w:val="single"/>
          <w:lang w:val="en-CA" w:eastAsia="zh-CN" w:bidi="ar"/>
        </w:rPr>
        <w:t>-202</w:t>
      </w:r>
      <w:r>
        <w:rPr>
          <w:rFonts w:hint="eastAsia" w:ascii="宋体" w:hAnsi="宋体" w:eastAsia="宋体" w:cs="宋体"/>
          <w:i w:val="0"/>
          <w:iCs w:val="0"/>
          <w:color w:val="000000"/>
          <w:kern w:val="0"/>
          <w:sz w:val="20"/>
          <w:szCs w:val="20"/>
          <w:u w:val="single"/>
          <w:lang w:val="en-US" w:eastAsia="zh-CN" w:bidi="ar"/>
        </w:rPr>
        <w:t>2</w:t>
      </w:r>
      <w:r>
        <w:rPr>
          <w:rFonts w:hint="default" w:ascii="宋体" w:hAnsi="宋体" w:eastAsia="宋体" w:cs="宋体"/>
          <w:i w:val="0"/>
          <w:iCs w:val="0"/>
          <w:color w:val="000000"/>
          <w:kern w:val="0"/>
          <w:sz w:val="20"/>
          <w:szCs w:val="20"/>
          <w:u w:val="single"/>
          <w:lang w:val="en-CA" w:eastAsia="zh-CN" w:bidi="ar"/>
        </w:rPr>
        <w:t>0</w:t>
      </w:r>
      <w:r>
        <w:rPr>
          <w:rFonts w:hint="eastAsia" w:ascii="宋体" w:hAnsi="宋体" w:eastAsia="宋体" w:cs="宋体"/>
          <w:i w:val="0"/>
          <w:iCs w:val="0"/>
          <w:color w:val="000000"/>
          <w:kern w:val="0"/>
          <w:sz w:val="20"/>
          <w:szCs w:val="20"/>
          <w:u w:val="single"/>
          <w:lang w:val="en-US" w:eastAsia="zh-CN" w:bidi="ar"/>
        </w:rPr>
        <w:t>1）</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安徽省交运集团有限公司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安徽省交运集团有限公司拟</w:t>
      </w:r>
      <w:r>
        <w:rPr>
          <w:rFonts w:hint="eastAsia" w:ascii="Times New Roman" w:hAnsi="Times New Roman" w:cs="Times New Roman" w:eastAsiaTheme="minorEastAsia"/>
          <w:color w:val="auto"/>
          <w:sz w:val="21"/>
          <w:szCs w:val="22"/>
          <w:highlight w:val="none"/>
          <w:u w:val="single"/>
        </w:rPr>
        <w:t>对</w:t>
      </w:r>
      <w:r>
        <w:rPr>
          <w:rFonts w:hint="eastAsia" w:ascii="Times New Roman" w:hAnsi="Times New Roman" w:cs="Times New Roman"/>
          <w:color w:val="auto"/>
          <w:sz w:val="21"/>
          <w:szCs w:val="22"/>
          <w:highlight w:val="none"/>
          <w:u w:val="single"/>
          <w:lang w:eastAsia="zh-CN"/>
        </w:rPr>
        <w:t>其分别持有肥西校车服务</w:t>
      </w:r>
      <w:r>
        <w:rPr>
          <w:rFonts w:hint="eastAsia" w:ascii="Times New Roman" w:hAnsi="Times New Roman" w:cs="Times New Roman" w:eastAsiaTheme="minorEastAsia"/>
          <w:color w:val="auto"/>
          <w:kern w:val="2"/>
          <w:sz w:val="21"/>
          <w:szCs w:val="22"/>
          <w:highlight w:val="none"/>
          <w:u w:val="single"/>
          <w:lang w:val="en-US" w:eastAsia="zh-CN" w:bidi="ar-SA"/>
        </w:rPr>
        <w:t>有限公司</w:t>
      </w:r>
      <w:r>
        <w:rPr>
          <w:rFonts w:hint="eastAsia" w:ascii="Times New Roman" w:hAnsi="Times New Roman" w:cs="Times New Roman"/>
          <w:color w:val="auto"/>
          <w:kern w:val="2"/>
          <w:sz w:val="21"/>
          <w:szCs w:val="22"/>
          <w:highlight w:val="none"/>
          <w:u w:val="single"/>
          <w:lang w:val="en-US" w:eastAsia="zh-CN" w:bidi="ar-SA"/>
        </w:rPr>
        <w:t>及合肥合客安运校车服务有限公司各8%股权</w:t>
      </w:r>
      <w:r>
        <w:rPr>
          <w:rFonts w:hint="eastAsia" w:ascii="Times New Roman" w:hAnsi="Times New Roman" w:cs="Times New Roman" w:eastAsiaTheme="minorEastAsia"/>
          <w:color w:val="auto"/>
          <w:sz w:val="21"/>
          <w:szCs w:val="22"/>
          <w:highlight w:val="none"/>
          <w:u w:val="single"/>
        </w:rPr>
        <w:t>在评估基准日的市场价值进行评定和估算，为</w:t>
      </w:r>
      <w:r>
        <w:rPr>
          <w:rFonts w:hint="eastAsia" w:ascii="Times New Roman" w:hAnsi="Times New Roman" w:cs="Times New Roman"/>
          <w:color w:val="auto"/>
          <w:sz w:val="21"/>
          <w:szCs w:val="22"/>
          <w:highlight w:val="none"/>
          <w:u w:val="single"/>
          <w:lang w:eastAsia="zh-CN"/>
        </w:rPr>
        <w:t>相应股权转让</w:t>
      </w:r>
      <w:r>
        <w:rPr>
          <w:rFonts w:hint="eastAsia" w:ascii="Times New Roman" w:hAnsi="Times New Roman" w:cs="Times New Roman" w:eastAsiaTheme="minorEastAsia"/>
          <w:color w:val="auto"/>
          <w:sz w:val="21"/>
          <w:szCs w:val="22"/>
          <w:highlight w:val="none"/>
          <w:u w:val="single"/>
        </w:rPr>
        <w:t>提供价值参考</w:t>
      </w:r>
      <w:r>
        <w:rPr>
          <w:rFonts w:hint="eastAsia" w:ascii="Times New Roman" w:hAnsi="Times New Roman" w:cs="Times New Roman"/>
          <w:color w:val="auto"/>
          <w:sz w:val="21"/>
          <w:szCs w:val="22"/>
          <w:highlight w:val="none"/>
          <w:u w:val="single"/>
          <w:lang w:val="en-US" w:eastAsia="zh-CN"/>
        </w:rPr>
        <w:t>。</w:t>
      </w:r>
    </w:p>
    <w:p>
      <w:pPr>
        <w:pStyle w:val="6"/>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1" w:name="_Toc17858_WPSOffice_Level2"/>
      <w:bookmarkStart w:id="12" w:name="_Toc18453"/>
      <w:bookmarkStart w:id="13" w:name="_Toc23266_WPSOffice_Level2"/>
      <w:bookmarkStart w:id="14" w:name="_Toc18367_WPSOffice_Level2"/>
      <w:bookmarkStart w:id="15" w:name="_Toc10274"/>
      <w:bookmarkStart w:id="16" w:name="_Toc8128_WPSOffice_Level2"/>
      <w:bookmarkStart w:id="17" w:name="_Toc525632586"/>
      <w:r>
        <w:rPr>
          <w:rFonts w:hint="default" w:ascii="Times New Roman" w:hAnsi="Times New Roman" w:eastAsia="黑体" w:cs="Times New Roman"/>
          <w:bCs w:val="0"/>
          <w:color w:val="auto"/>
          <w:sz w:val="22"/>
          <w:szCs w:val="15"/>
          <w:highlight w:val="none"/>
        </w:rPr>
        <w:t>采购说明</w:t>
      </w:r>
      <w:bookmarkEnd w:id="11"/>
      <w:bookmarkEnd w:id="12"/>
      <w:bookmarkEnd w:id="13"/>
      <w:bookmarkEnd w:id="14"/>
      <w:bookmarkEnd w:id="15"/>
      <w:bookmarkEnd w:id="16"/>
      <w:bookmarkEnd w:id="17"/>
    </w:p>
    <w:p>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18" w:name="_Toc4489_WPSOffice_Level3"/>
      <w:r>
        <w:rPr>
          <w:rFonts w:hint="default" w:ascii="Times New Roman" w:hAnsi="Times New Roman" w:cs="Times New Roman"/>
          <w:color w:val="auto"/>
          <w:sz w:val="21"/>
          <w:szCs w:val="22"/>
          <w:highlight w:val="none"/>
        </w:rPr>
        <w:t>2.1 采购方式：</w:t>
      </w:r>
      <w:bookmarkEnd w:id="18"/>
      <w:r>
        <w:rPr>
          <w:rFonts w:hint="default" w:ascii="Times New Roman" w:hAnsi="Times New Roman"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19"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9"/>
      <w:bookmarkStart w:id="20" w:name="_Toc22379_WPSOffice_Level3"/>
      <w:r>
        <w:rPr>
          <w:rFonts w:hint="eastAsia" w:ascii="Times New Roman" w:hAnsi="Times New Roman" w:cs="Times New Roman"/>
          <w:color w:val="auto"/>
          <w:sz w:val="21"/>
          <w:szCs w:val="22"/>
          <w:highlight w:val="none"/>
          <w:u w:val="single"/>
          <w:lang w:val="en-US" w:eastAsia="zh-CN"/>
        </w:rPr>
        <w:t>100%来自</w:t>
      </w:r>
      <w:r>
        <w:rPr>
          <w:rFonts w:hint="default" w:ascii="Times New Roman" w:hAnsi="Times New Roman" w:cs="Times New Roman"/>
          <w:color w:val="auto"/>
          <w:sz w:val="21"/>
          <w:szCs w:val="22"/>
          <w:highlight w:val="none"/>
          <w:u w:val="single"/>
          <w:lang w:val="en-US" w:eastAsia="zh-CN"/>
        </w:rPr>
        <w:t>企业自筹</w:t>
      </w:r>
    </w:p>
    <w:p>
      <w:pPr>
        <w:snapToGrid w:val="0"/>
        <w:spacing w:line="440" w:lineRule="exact"/>
        <w:ind w:firstLine="420" w:firstLineChars="200"/>
        <w:rPr>
          <w:rFonts w:hint="eastAsia" w:cs="Times New Roman" w:asciiTheme="minorEastAsia" w:hAnsiTheme="minorEastAsia"/>
          <w:szCs w:val="21"/>
          <w:u w:val="none"/>
          <w:lang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szCs w:val="22"/>
          <w:u w:val="single"/>
        </w:rPr>
        <w:t>根</w:t>
      </w:r>
      <w:r>
        <w:rPr>
          <w:rFonts w:cs="Times New Roman" w:asciiTheme="minorEastAsia" w:hAnsiTheme="minorEastAsia"/>
          <w:szCs w:val="21"/>
          <w:u w:val="single"/>
        </w:rPr>
        <w:t>据</w:t>
      </w:r>
      <w:r>
        <w:rPr>
          <w:rFonts w:hint="eastAsia" w:ascii="Times New Roman" w:hAnsi="Times New Roman" w:cs="Times New Roman"/>
          <w:szCs w:val="22"/>
          <w:u w:val="single"/>
          <w:lang w:val="en-US" w:eastAsia="zh-CN"/>
        </w:rPr>
        <w:t>工作安排</w:t>
      </w:r>
      <w:r>
        <w:rPr>
          <w:rFonts w:cs="Times New Roman" w:asciiTheme="minorEastAsia" w:hAnsiTheme="minorEastAsia"/>
          <w:szCs w:val="21"/>
          <w:u w:val="single"/>
        </w:rPr>
        <w:t>，</w:t>
      </w:r>
      <w:r>
        <w:rPr>
          <w:rFonts w:hint="eastAsia" w:ascii="Times New Roman" w:hAnsi="Times New Roman" w:cs="Times New Roman"/>
          <w:color w:val="auto"/>
          <w:sz w:val="21"/>
          <w:szCs w:val="22"/>
          <w:highlight w:val="none"/>
          <w:u w:val="single"/>
          <w:lang w:val="en-US" w:eastAsia="zh-CN"/>
        </w:rPr>
        <w:t>安徽省交运集团有限公司拟</w:t>
      </w:r>
      <w:r>
        <w:rPr>
          <w:rFonts w:hint="eastAsia" w:ascii="Times New Roman" w:hAnsi="Times New Roman" w:cs="Times New Roman" w:eastAsiaTheme="minorEastAsia"/>
          <w:color w:val="auto"/>
          <w:sz w:val="21"/>
          <w:szCs w:val="22"/>
          <w:highlight w:val="none"/>
          <w:u w:val="single"/>
        </w:rPr>
        <w:t>对</w:t>
      </w:r>
      <w:r>
        <w:rPr>
          <w:rFonts w:hint="eastAsia" w:ascii="Times New Roman" w:hAnsi="Times New Roman" w:cs="Times New Roman"/>
          <w:color w:val="auto"/>
          <w:sz w:val="21"/>
          <w:szCs w:val="22"/>
          <w:highlight w:val="none"/>
          <w:u w:val="single"/>
          <w:lang w:eastAsia="zh-CN"/>
        </w:rPr>
        <w:t>其分别持有肥西校车服务</w:t>
      </w:r>
      <w:r>
        <w:rPr>
          <w:rFonts w:hint="eastAsia" w:ascii="Times New Roman" w:hAnsi="Times New Roman" w:cs="Times New Roman" w:eastAsiaTheme="minorEastAsia"/>
          <w:color w:val="auto"/>
          <w:kern w:val="2"/>
          <w:sz w:val="21"/>
          <w:szCs w:val="22"/>
          <w:highlight w:val="none"/>
          <w:u w:val="single"/>
          <w:lang w:val="en-US" w:eastAsia="zh-CN" w:bidi="ar-SA"/>
        </w:rPr>
        <w:t>有限公司</w:t>
      </w:r>
      <w:r>
        <w:rPr>
          <w:rFonts w:hint="eastAsia" w:ascii="Times New Roman" w:hAnsi="Times New Roman" w:cs="Times New Roman"/>
          <w:color w:val="auto"/>
          <w:kern w:val="2"/>
          <w:sz w:val="21"/>
          <w:szCs w:val="22"/>
          <w:highlight w:val="none"/>
          <w:u w:val="single"/>
          <w:lang w:val="en-US" w:eastAsia="zh-CN" w:bidi="ar-SA"/>
        </w:rPr>
        <w:t>及合肥合客安运校车服务有限公司的各8%股权，</w:t>
      </w:r>
      <w:r>
        <w:rPr>
          <w:rFonts w:hint="eastAsia" w:ascii="Times New Roman" w:hAnsi="Times New Roman" w:cs="Times New Roman" w:eastAsiaTheme="minorEastAsia"/>
          <w:iCs w:val="0"/>
          <w:color w:val="auto"/>
          <w:sz w:val="21"/>
          <w:szCs w:val="22"/>
          <w:highlight w:val="none"/>
          <w:u w:val="single"/>
        </w:rPr>
        <w:t xml:space="preserve"> </w:t>
      </w:r>
      <w:r>
        <w:rPr>
          <w:rFonts w:hint="eastAsia" w:ascii="Times New Roman" w:hAnsi="Times New Roman" w:cs="Times New Roman" w:eastAsiaTheme="minorEastAsia"/>
          <w:color w:val="auto"/>
          <w:sz w:val="21"/>
          <w:szCs w:val="22"/>
          <w:highlight w:val="none"/>
          <w:u w:val="single"/>
        </w:rPr>
        <w:t>在评估基准日的市场价值进行评定和估算</w:t>
      </w:r>
      <w:r>
        <w:rPr>
          <w:rFonts w:hint="eastAsia" w:cs="Times New Roman" w:asciiTheme="minorEastAsia" w:hAnsiTheme="minorEastAsia"/>
          <w:szCs w:val="21"/>
          <w:u w:val="none"/>
          <w:lang w:eastAsia="zh-CN"/>
        </w:rPr>
        <w:t>，具体如下：</w:t>
      </w:r>
    </w:p>
    <w:p>
      <w:pPr>
        <w:pStyle w:val="12"/>
        <w:jc w:val="center"/>
        <w:rPr>
          <w:rFonts w:hint="eastAsia"/>
          <w:lang w:eastAsia="zh-CN"/>
        </w:rPr>
      </w:pPr>
      <w:r>
        <w:rPr>
          <w:rFonts w:hint="eastAsia" w:cs="Times New Roman" w:asciiTheme="minorEastAsia" w:hAnsiTheme="minorEastAsia"/>
          <w:szCs w:val="21"/>
          <w:u w:val="none"/>
          <w:lang w:val="en-US" w:eastAsia="zh-CN"/>
        </w:rPr>
        <w:t xml:space="preserve">                                                  </w:t>
      </w:r>
      <w:r>
        <w:rPr>
          <w:rFonts w:hint="eastAsia" w:cs="Times New Roman" w:asciiTheme="minorEastAsia" w:hAnsiTheme="minorEastAsia"/>
          <w:szCs w:val="21"/>
          <w:u w:val="none"/>
          <w:lang w:eastAsia="zh-CN"/>
        </w:rPr>
        <w:t>单位：万元人民币</w:t>
      </w:r>
    </w:p>
    <w:tbl>
      <w:tblPr>
        <w:tblStyle w:val="21"/>
        <w:tblW w:w="4998" w:type="pct"/>
        <w:tblInd w:w="0" w:type="dxa"/>
        <w:shd w:val="clear" w:color="auto" w:fill="auto"/>
        <w:tblLayout w:type="autofit"/>
        <w:tblCellMar>
          <w:top w:w="0" w:type="dxa"/>
          <w:left w:w="108" w:type="dxa"/>
          <w:bottom w:w="0" w:type="dxa"/>
          <w:right w:w="108" w:type="dxa"/>
        </w:tblCellMar>
      </w:tblPr>
      <w:tblGrid>
        <w:gridCol w:w="3204"/>
        <w:gridCol w:w="1016"/>
        <w:gridCol w:w="1005"/>
        <w:gridCol w:w="1017"/>
        <w:gridCol w:w="2283"/>
      </w:tblGrid>
      <w:tr>
        <w:tblPrEx>
          <w:shd w:val="clear" w:color="auto" w:fill="auto"/>
          <w:tblCellMar>
            <w:top w:w="0" w:type="dxa"/>
            <w:left w:w="108" w:type="dxa"/>
            <w:bottom w:w="0" w:type="dxa"/>
            <w:right w:w="108" w:type="dxa"/>
          </w:tblCellMar>
        </w:tblPrEx>
        <w:trPr>
          <w:trHeight w:val="676" w:hRule="atLeast"/>
        </w:trPr>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CA" w:eastAsia="zh-CN" w:bidi="ar"/>
              </w:rPr>
              <w:t>评估</w:t>
            </w:r>
            <w:r>
              <w:rPr>
                <w:rFonts w:hint="eastAsia" w:ascii="宋体" w:hAnsi="宋体" w:eastAsia="宋体" w:cs="宋体"/>
                <w:b/>
                <w:bCs/>
                <w:i w:val="0"/>
                <w:iCs w:val="0"/>
                <w:color w:val="000000"/>
                <w:kern w:val="0"/>
                <w:sz w:val="18"/>
                <w:szCs w:val="18"/>
                <w:u w:val="none"/>
                <w:lang w:val="en-US" w:eastAsia="zh-CN" w:bidi="ar"/>
              </w:rPr>
              <w:t>对象</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项目类型</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资产总额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负债总额</w:t>
            </w: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备注</w:t>
            </w:r>
          </w:p>
        </w:tc>
      </w:tr>
      <w:tr>
        <w:tblPrEx>
          <w:shd w:val="clear" w:color="auto" w:fill="auto"/>
          <w:tblCellMar>
            <w:top w:w="0" w:type="dxa"/>
            <w:left w:w="108" w:type="dxa"/>
            <w:bottom w:w="0" w:type="dxa"/>
            <w:right w:w="108" w:type="dxa"/>
          </w:tblCellMar>
        </w:tblPrEx>
        <w:trPr>
          <w:trHeight w:val="754" w:hRule="atLeast"/>
        </w:trPr>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Times New Roman" w:hAnsi="Times New Roman" w:cs="Times New Roman"/>
                <w:color w:val="auto"/>
                <w:sz w:val="21"/>
                <w:szCs w:val="22"/>
                <w:highlight w:val="none"/>
                <w:u w:val="none"/>
                <w:lang w:eastAsia="zh-CN"/>
              </w:rPr>
              <w:t>肥西校车服务</w:t>
            </w:r>
            <w:r>
              <w:rPr>
                <w:rFonts w:hint="eastAsia" w:ascii="Times New Roman" w:hAnsi="Times New Roman" w:cs="Times New Roman" w:eastAsiaTheme="minorEastAsia"/>
                <w:color w:val="auto"/>
                <w:kern w:val="2"/>
                <w:sz w:val="21"/>
                <w:szCs w:val="22"/>
                <w:highlight w:val="none"/>
                <w:u w:val="none"/>
                <w:lang w:val="en-US" w:eastAsia="zh-CN" w:bidi="ar-SA"/>
              </w:rPr>
              <w:t>有限公司</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资产评估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1597.43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336.46</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采购人占评估对象8%股权</w:t>
            </w:r>
          </w:p>
        </w:tc>
      </w:tr>
      <w:tr>
        <w:tblPrEx>
          <w:tblCellMar>
            <w:top w:w="0" w:type="dxa"/>
            <w:left w:w="108" w:type="dxa"/>
            <w:bottom w:w="0" w:type="dxa"/>
            <w:right w:w="108" w:type="dxa"/>
          </w:tblCellMar>
        </w:tblPrEx>
        <w:trPr>
          <w:trHeight w:val="873" w:hRule="atLeast"/>
        </w:trPr>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Times New Roman" w:hAnsi="Times New Roman" w:cs="Times New Roman"/>
                <w:color w:val="auto"/>
                <w:kern w:val="2"/>
                <w:sz w:val="21"/>
                <w:szCs w:val="22"/>
                <w:highlight w:val="none"/>
                <w:u w:val="none"/>
                <w:lang w:val="en-US" w:eastAsia="zh-CN" w:bidi="ar-SA"/>
              </w:rPr>
              <w:t>合肥合客安运校车服务有限公司</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资产评估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4295.25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1845.252</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val="en-US" w:eastAsia="zh-CN"/>
              </w:rPr>
              <w:t>采购人占评估对象8%股权</w:t>
            </w:r>
          </w:p>
        </w:tc>
      </w:tr>
    </w:tbl>
    <w:p>
      <w:pPr>
        <w:snapToGrid w:val="0"/>
        <w:spacing w:line="440" w:lineRule="exact"/>
        <w:ind w:firstLine="420" w:firstLineChars="200"/>
        <w:rPr>
          <w:rFonts w:hint="eastAsia"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（以上资产和负债总额仅供参考，详见最后页简表）</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szCs w:val="22"/>
          <w:u w:val="single"/>
        </w:rPr>
        <w:t>共</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个</w:t>
      </w:r>
      <w:r>
        <w:rPr>
          <w:rFonts w:hint="eastAsia" w:ascii="Times New Roman" w:hAnsi="Times New Roman" w:cs="Times New Roman"/>
          <w:szCs w:val="22"/>
          <w:u w:val="single"/>
          <w:lang w:eastAsia="zh-CN"/>
        </w:rPr>
        <w:t>合同标段</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20"/>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szCs w:val="22"/>
          <w:u w:val="single"/>
          <w:lang w:val="en-US" w:eastAsia="zh-CN"/>
        </w:rPr>
        <w:t>合同包</w:t>
      </w:r>
      <w:r>
        <w:rPr>
          <w:rFonts w:hint="eastAsia" w:ascii="Times New Roman" w:hAnsi="Times New Roman" w:cs="Times New Roman"/>
          <w:szCs w:val="22"/>
          <w:u w:val="single"/>
          <w:lang w:eastAsia="zh-CN"/>
        </w:rPr>
        <w:t>含税总价</w:t>
      </w:r>
      <w:r>
        <w:rPr>
          <w:rFonts w:hint="eastAsia" w:ascii="Times New Roman" w:hAnsi="Times New Roman" w:cs="Times New Roman"/>
          <w:color w:val="auto"/>
          <w:sz w:val="21"/>
          <w:szCs w:val="22"/>
          <w:highlight w:val="none"/>
          <w:u w:val="single"/>
          <w:lang w:val="en-US" w:eastAsia="zh-CN"/>
        </w:rPr>
        <w:t>7万元</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2.6 计划服务期：</w:t>
      </w:r>
      <w:r>
        <w:rPr>
          <w:rFonts w:hint="default" w:ascii="Times New Roman" w:hAnsi="Times New Roman" w:cs="Times New Roman"/>
          <w:color w:val="auto"/>
          <w:sz w:val="21"/>
          <w:szCs w:val="22"/>
          <w:highlight w:val="none"/>
          <w:u w:val="single"/>
          <w:lang w:val="en-US" w:eastAsia="zh-CN"/>
        </w:rPr>
        <w:t xml:space="preserve">计划开工日期 </w:t>
      </w:r>
      <w:r>
        <w:rPr>
          <w:rFonts w:hint="eastAsia" w:ascii="Times New Roman" w:hAnsi="Times New Roman" w:cs="Times New Roman"/>
          <w:color w:val="auto"/>
          <w:sz w:val="21"/>
          <w:szCs w:val="22"/>
          <w:highlight w:val="none"/>
          <w:u w:val="single"/>
          <w:lang w:val="en-US" w:eastAsia="zh-CN"/>
        </w:rPr>
        <w:t>自中标通知书发出5日内</w:t>
      </w:r>
      <w:r>
        <w:rPr>
          <w:rFonts w:hint="default" w:ascii="Times New Roman" w:hAnsi="Times New Roman" w:cs="Times New Roman"/>
          <w:color w:val="auto"/>
          <w:sz w:val="21"/>
          <w:szCs w:val="22"/>
          <w:highlight w:val="none"/>
          <w:u w:val="single"/>
          <w:lang w:val="en-US" w:eastAsia="zh-CN"/>
        </w:rPr>
        <w:t xml:space="preserve"> （实际开工日期以采购人通知的为准）；服务期</w:t>
      </w:r>
      <w:r>
        <w:rPr>
          <w:rFonts w:hint="eastAsia" w:ascii="Times New Roman" w:hAnsi="Times New Roman" w:cs="Times New Roman"/>
          <w:color w:val="auto"/>
          <w:sz w:val="21"/>
          <w:szCs w:val="22"/>
          <w:highlight w:val="none"/>
          <w:u w:val="single"/>
          <w:lang w:val="en-US" w:eastAsia="zh-CN"/>
        </w:rPr>
        <w:t>20日</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none"/>
          <w:lang w:val="en-US" w:eastAsia="zh-CN"/>
        </w:rPr>
        <w:t>。</w:t>
      </w:r>
    </w:p>
    <w:p>
      <w:pPr>
        <w:pStyle w:val="6"/>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1" w:name="_Toc29516_WPSOffice_Level2"/>
      <w:bookmarkStart w:id="22" w:name="_Toc1622_WPSOffice_Level2"/>
      <w:bookmarkStart w:id="23" w:name="_Toc525632587"/>
      <w:bookmarkStart w:id="24" w:name="_Toc6388"/>
      <w:bookmarkStart w:id="25" w:name="_Toc22379_WPSOffice_Level2"/>
      <w:bookmarkStart w:id="26" w:name="_Toc3714"/>
      <w:bookmarkStart w:id="27" w:name="_Toc31673_WPSOffice_Level2"/>
      <w:r>
        <w:rPr>
          <w:rFonts w:hint="default" w:ascii="Times New Roman" w:hAnsi="Times New Roman" w:eastAsia="黑体" w:cs="Times New Roman"/>
          <w:bCs w:val="0"/>
          <w:color w:val="auto"/>
          <w:sz w:val="22"/>
          <w:szCs w:val="15"/>
          <w:highlight w:val="none"/>
        </w:rPr>
        <w:t>供应商资格条件</w:t>
      </w:r>
      <w:bookmarkEnd w:id="21"/>
      <w:bookmarkEnd w:id="22"/>
      <w:bookmarkEnd w:id="23"/>
      <w:bookmarkEnd w:id="24"/>
      <w:bookmarkEnd w:id="25"/>
      <w:bookmarkEnd w:id="26"/>
      <w:bookmarkEnd w:id="27"/>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（1）资质最低要求：</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①具备独立法人资格，持有有效的营业执照；</w:t>
      </w:r>
    </w:p>
    <w:p>
      <w:pPr>
        <w:snapToGrid w:val="0"/>
        <w:spacing w:line="440" w:lineRule="exact"/>
        <w:ind w:firstLine="420" w:firstLineChars="200"/>
        <w:rPr>
          <w:rFonts w:hint="eastAsia" w:ascii="Times New Roman" w:hAnsi="Times New Roman" w:cs="Times New Roman"/>
          <w:i w:val="0"/>
          <w:iCs w:val="0"/>
          <w:color w:val="auto"/>
          <w:kern w:val="2"/>
          <w:sz w:val="21"/>
          <w:szCs w:val="22"/>
          <w:highlight w:val="none"/>
          <w:u w:val="none"/>
          <w:lang w:val="en-US" w:eastAsia="zh-CN" w:bidi="ar"/>
        </w:rPr>
      </w:pPr>
      <w:r>
        <w:rPr>
          <w:rFonts w:hint="default" w:ascii="Times New Roman" w:hAnsi="Times New Roman" w:cs="Times New Roman"/>
          <w:color w:val="auto"/>
          <w:sz w:val="21"/>
          <w:szCs w:val="22"/>
          <w:highlight w:val="none"/>
          <w:u w:val="none"/>
          <w:lang w:val="en-US" w:eastAsia="zh-CN"/>
        </w:rPr>
        <w:t>②具备</w:t>
      </w:r>
      <w:r>
        <w:rPr>
          <w:rFonts w:hint="default" w:ascii="Times New Roman" w:hAnsi="Times New Roman" w:cs="Times New Roman" w:eastAsiaTheme="minorEastAsia"/>
          <w:i w:val="0"/>
          <w:iCs w:val="0"/>
          <w:color w:val="auto"/>
          <w:kern w:val="2"/>
          <w:sz w:val="21"/>
          <w:szCs w:val="22"/>
          <w:highlight w:val="none"/>
          <w:u w:val="single"/>
          <w:lang w:val="en-US" w:eastAsia="zh-CN" w:bidi="ar"/>
        </w:rPr>
        <w:t>国家资产评估资格管理机构批准的资产评估资格</w:t>
      </w:r>
      <w:r>
        <w:rPr>
          <w:rFonts w:hint="default" w:ascii="Times New Roman" w:hAnsi="Times New Roman" w:cs="Times New Roman"/>
          <w:color w:val="auto"/>
          <w:sz w:val="21"/>
          <w:szCs w:val="22"/>
          <w:highlight w:val="none"/>
          <w:u w:val="none"/>
          <w:lang w:val="en-US" w:eastAsia="zh-CN"/>
        </w:rPr>
        <w:t>资质</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eastAsiaTheme="minorEastAsia"/>
          <w:i w:val="0"/>
          <w:iCs w:val="0"/>
          <w:color w:val="auto"/>
          <w:kern w:val="2"/>
          <w:sz w:val="21"/>
          <w:szCs w:val="22"/>
          <w:highlight w:val="none"/>
          <w:u w:val="none"/>
          <w:lang w:val="en-US" w:eastAsia="zh-CN" w:bidi="ar"/>
        </w:rPr>
        <w:t>具有与资产评估业务相适应的专业能力和足够的资产评估师，其中合伙制机构不少于5名，公司制机构不少于8名</w:t>
      </w:r>
      <w:r>
        <w:rPr>
          <w:rFonts w:hint="eastAsia" w:ascii="Times New Roman" w:hAnsi="Times New Roman" w:cs="Times New Roman"/>
          <w:i w:val="0"/>
          <w:iCs w:val="0"/>
          <w:color w:val="auto"/>
          <w:kern w:val="2"/>
          <w:sz w:val="21"/>
          <w:szCs w:val="22"/>
          <w:highlight w:val="none"/>
          <w:u w:val="none"/>
          <w:lang w:val="en-US" w:eastAsia="zh-CN" w:bidi="ar"/>
        </w:rPr>
        <w:t>。</w:t>
      </w:r>
    </w:p>
    <w:p>
      <w:pPr>
        <w:snapToGrid w:val="0"/>
        <w:spacing w:line="440" w:lineRule="exact"/>
        <w:ind w:firstLine="420" w:firstLineChars="200"/>
        <w:rPr>
          <w:rFonts w:hint="default" w:ascii="Times New Roman" w:hAnsi="Times New Roman" w:cs="Times New Roman"/>
          <w:b/>
          <w:bCs/>
          <w:color w:val="auto"/>
          <w:sz w:val="21"/>
          <w:szCs w:val="22"/>
          <w:highlight w:val="none"/>
          <w:u w:val="none"/>
          <w:lang w:val="en-US" w:eastAsia="zh-CN"/>
        </w:rPr>
      </w:pPr>
      <w:r>
        <w:rPr>
          <w:rFonts w:hint="eastAsia" w:ascii="Times New Roman" w:hAnsi="Times New Roman" w:cs="Times New Roman"/>
          <w:b/>
          <w:bCs/>
          <w:i w:val="0"/>
          <w:iCs w:val="0"/>
          <w:color w:val="auto"/>
          <w:kern w:val="2"/>
          <w:sz w:val="21"/>
          <w:szCs w:val="22"/>
          <w:highlight w:val="none"/>
          <w:u w:val="none"/>
          <w:lang w:val="en-US" w:eastAsia="zh-CN" w:bidi="ar"/>
        </w:rPr>
        <w:t>（注：提供营业执照复印加盖公章、提供</w:t>
      </w:r>
      <w:r>
        <w:rPr>
          <w:rFonts w:hint="default" w:ascii="Times New Roman" w:hAnsi="Times New Roman" w:cs="Times New Roman" w:eastAsiaTheme="minorEastAsia"/>
          <w:b/>
          <w:bCs/>
          <w:i w:val="0"/>
          <w:iCs w:val="0"/>
          <w:color w:val="auto"/>
          <w:kern w:val="2"/>
          <w:sz w:val="21"/>
          <w:szCs w:val="22"/>
          <w:highlight w:val="none"/>
          <w:u w:val="none"/>
          <w:lang w:val="en-US" w:eastAsia="zh-CN" w:bidi="ar"/>
        </w:rPr>
        <w:t>资产评估资格管理机构批准的资产评估资格</w:t>
      </w:r>
      <w:r>
        <w:rPr>
          <w:rFonts w:hint="default" w:ascii="Times New Roman" w:hAnsi="Times New Roman" w:cs="Times New Roman"/>
          <w:b/>
          <w:bCs/>
          <w:color w:val="auto"/>
          <w:sz w:val="21"/>
          <w:szCs w:val="22"/>
          <w:highlight w:val="none"/>
          <w:u w:val="none"/>
          <w:lang w:val="en-US" w:eastAsia="zh-CN"/>
        </w:rPr>
        <w:t>资质</w:t>
      </w:r>
      <w:r>
        <w:rPr>
          <w:rFonts w:hint="eastAsia" w:ascii="Times New Roman" w:hAnsi="Times New Roman" w:cs="Times New Roman"/>
          <w:b/>
          <w:bCs/>
          <w:color w:val="auto"/>
          <w:sz w:val="21"/>
          <w:szCs w:val="22"/>
          <w:highlight w:val="none"/>
          <w:u w:val="none"/>
          <w:lang w:val="en-US" w:eastAsia="zh-CN"/>
        </w:rPr>
        <w:t>文件、提供评估师资格证书复印件加盖公章。</w:t>
      </w:r>
      <w:r>
        <w:rPr>
          <w:rFonts w:hint="eastAsia" w:ascii="Times New Roman" w:hAnsi="Times New Roman" w:cs="Times New Roman"/>
          <w:b/>
          <w:bCs/>
          <w:i w:val="0"/>
          <w:iCs w:val="0"/>
          <w:color w:val="auto"/>
          <w:kern w:val="2"/>
          <w:sz w:val="21"/>
          <w:szCs w:val="22"/>
          <w:highlight w:val="none"/>
          <w:u w:val="none"/>
          <w:lang w:val="en-US" w:eastAsia="zh-CN" w:bidi="ar"/>
        </w:rPr>
        <w:t>）</w:t>
      </w:r>
    </w:p>
    <w:p>
      <w:pPr>
        <w:numPr>
          <w:ilvl w:val="0"/>
          <w:numId w:val="3"/>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业绩最低要求：</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近</w:t>
      </w:r>
      <w:r>
        <w:rPr>
          <w:rFonts w:hint="eastAsia" w:ascii="Times New Roman" w:hAnsi="Times New Roman" w:cs="Times New Roman"/>
          <w:color w:val="auto"/>
          <w:sz w:val="21"/>
          <w:szCs w:val="22"/>
          <w:highlight w:val="none"/>
          <w:u w:val="none"/>
          <w:lang w:val="en-US" w:eastAsia="zh-CN"/>
        </w:rPr>
        <w:t>三</w:t>
      </w:r>
      <w:r>
        <w:rPr>
          <w:rFonts w:hint="default" w:ascii="Times New Roman" w:hAnsi="Times New Roman" w:cs="Times New Roman"/>
          <w:color w:val="auto"/>
          <w:sz w:val="21"/>
          <w:szCs w:val="22"/>
          <w:highlight w:val="none"/>
          <w:u w:val="none"/>
          <w:lang w:val="en-US" w:eastAsia="zh-CN"/>
        </w:rPr>
        <w:t>年（指</w:t>
      </w:r>
      <w:r>
        <w:rPr>
          <w:rFonts w:hint="eastAsia" w:ascii="Times New Roman" w:hAnsi="Times New Roman" w:cs="Times New Roman"/>
          <w:color w:val="auto"/>
          <w:sz w:val="21"/>
          <w:szCs w:val="22"/>
          <w:highlight w:val="none"/>
          <w:u w:val="none"/>
          <w:lang w:val="en-US" w:eastAsia="zh-CN"/>
        </w:rPr>
        <w:t>2019</w:t>
      </w:r>
      <w:r>
        <w:rPr>
          <w:rFonts w:hint="default" w:ascii="Times New Roman" w:hAnsi="Times New Roman" w:cs="Times New Roman"/>
          <w:color w:val="auto"/>
          <w:sz w:val="21"/>
          <w:szCs w:val="22"/>
          <w:highlight w:val="none"/>
          <w:u w:val="none"/>
          <w:lang w:val="en-US" w:eastAsia="zh-CN"/>
        </w:rPr>
        <w:t>年</w:t>
      </w:r>
      <w:r>
        <w:rPr>
          <w:rFonts w:hint="eastAsia" w:ascii="Times New Roman" w:hAnsi="Times New Roman" w:cs="Times New Roman"/>
          <w:color w:val="auto"/>
          <w:sz w:val="21"/>
          <w:szCs w:val="22"/>
          <w:highlight w:val="none"/>
          <w:u w:val="none"/>
          <w:lang w:val="en-US" w:eastAsia="zh-CN"/>
        </w:rPr>
        <w:t>1</w:t>
      </w:r>
      <w:r>
        <w:rPr>
          <w:rFonts w:hint="default" w:ascii="Times New Roman" w:hAnsi="Times New Roman" w:cs="Times New Roman"/>
          <w:color w:val="auto"/>
          <w:sz w:val="21"/>
          <w:szCs w:val="22"/>
          <w:highlight w:val="none"/>
          <w:u w:val="none"/>
          <w:lang w:val="en-US" w:eastAsia="zh-CN"/>
        </w:rPr>
        <w:t>月</w:t>
      </w:r>
      <w:r>
        <w:rPr>
          <w:rFonts w:hint="eastAsia" w:ascii="Times New Roman" w:hAnsi="Times New Roman" w:cs="Times New Roman"/>
          <w:color w:val="auto"/>
          <w:sz w:val="21"/>
          <w:szCs w:val="22"/>
          <w:highlight w:val="none"/>
          <w:u w:val="none"/>
          <w:lang w:val="en-US" w:eastAsia="zh-CN"/>
        </w:rPr>
        <w:t>1</w:t>
      </w:r>
      <w:r>
        <w:rPr>
          <w:rFonts w:hint="default" w:ascii="Times New Roman" w:hAnsi="Times New Roman" w:cs="Times New Roman"/>
          <w:color w:val="auto"/>
          <w:sz w:val="21"/>
          <w:szCs w:val="22"/>
          <w:highlight w:val="none"/>
          <w:u w:val="none"/>
          <w:lang w:val="en-US" w:eastAsia="zh-CN"/>
        </w:rPr>
        <w:t>日至响应文件递交截止日期，以</w:t>
      </w:r>
      <w:r>
        <w:rPr>
          <w:rFonts w:hint="eastAsia" w:ascii="Times New Roman" w:hAnsi="Times New Roman" w:cs="Times New Roman"/>
          <w:color w:val="auto"/>
          <w:sz w:val="21"/>
          <w:szCs w:val="22"/>
          <w:highlight w:val="none"/>
          <w:u w:val="single"/>
          <w:lang w:val="en-US" w:eastAsia="zh-CN"/>
        </w:rPr>
        <w:t>　年度审计报告　</w:t>
      </w:r>
      <w:r>
        <w:rPr>
          <w:rFonts w:hint="default" w:ascii="Times New Roman" w:hAnsi="Times New Roman" w:cs="Times New Roman"/>
          <w:color w:val="auto"/>
          <w:sz w:val="21"/>
          <w:szCs w:val="22"/>
          <w:highlight w:val="none"/>
          <w:u w:val="none"/>
          <w:lang w:val="en-US" w:eastAsia="zh-CN"/>
        </w:rPr>
        <w:t>为准</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color w:val="auto"/>
          <w:sz w:val="21"/>
          <w:szCs w:val="22"/>
          <w:highlight w:val="none"/>
          <w:u w:val="none"/>
          <w:lang w:val="en-US" w:eastAsia="zh-CN"/>
        </w:rPr>
        <w:t>具备</w:t>
      </w:r>
      <w:r>
        <w:rPr>
          <w:rFonts w:hint="eastAsia" w:ascii="Times New Roman" w:hAnsi="Times New Roman" w:cs="Times New Roman"/>
          <w:szCs w:val="22"/>
          <w:highlight w:val="none"/>
          <w:u w:val="single"/>
        </w:rPr>
        <w:t>供应商</w:t>
      </w:r>
      <w:r>
        <w:rPr>
          <w:rFonts w:hint="default" w:ascii="Times New Roman" w:hAnsi="Times New Roman" w:cs="Times New Roman" w:eastAsiaTheme="minorEastAsia"/>
          <w:i w:val="0"/>
          <w:iCs w:val="0"/>
          <w:color w:val="auto"/>
          <w:kern w:val="2"/>
          <w:sz w:val="21"/>
          <w:szCs w:val="22"/>
          <w:highlight w:val="none"/>
          <w:u w:val="single"/>
          <w:lang w:val="en-US" w:eastAsia="zh-CN" w:bidi="ar"/>
        </w:rPr>
        <w:t>连续三年资产评估业务收入在100万元以上</w:t>
      </w:r>
      <w:r>
        <w:rPr>
          <w:rFonts w:hint="default" w:ascii="Times New Roman" w:hAnsi="Times New Roman" w:cs="Times New Roman"/>
          <w:color w:val="auto"/>
          <w:sz w:val="21"/>
          <w:szCs w:val="22"/>
          <w:highlight w:val="none"/>
          <w:u w:val="none"/>
          <w:lang w:val="en-US" w:eastAsia="zh-CN"/>
        </w:rPr>
        <w:t>业绩。</w:t>
      </w:r>
    </w:p>
    <w:p>
      <w:pPr>
        <w:snapToGrid w:val="0"/>
        <w:spacing w:line="440" w:lineRule="exact"/>
        <w:ind w:firstLine="420" w:firstLineChars="200"/>
        <w:rPr>
          <w:rFonts w:hint="default"/>
          <w:highlight w:val="none"/>
          <w:lang w:val="en-US" w:eastAsia="zh-CN"/>
        </w:rPr>
      </w:pPr>
      <w:r>
        <w:rPr>
          <w:rFonts w:hint="eastAsia" w:ascii="Times New Roman" w:hAnsi="Times New Roman" w:cs="Times New Roman"/>
          <w:b/>
          <w:bCs/>
          <w:i w:val="0"/>
          <w:iCs w:val="0"/>
          <w:color w:val="auto"/>
          <w:kern w:val="2"/>
          <w:sz w:val="21"/>
          <w:szCs w:val="22"/>
          <w:highlight w:val="none"/>
          <w:u w:val="none"/>
          <w:lang w:val="en-US" w:eastAsia="zh-CN" w:bidi="ar"/>
        </w:rPr>
        <w:t>（注：提供年度审计报告复印件加盖公章。）</w:t>
      </w:r>
    </w:p>
    <w:p>
      <w:pPr>
        <w:numPr>
          <w:ilvl w:val="0"/>
          <w:numId w:val="3"/>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主要人员最低要求：</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项目</w:t>
      </w:r>
      <w:r>
        <w:rPr>
          <w:rFonts w:hint="eastAsia" w:ascii="Times New Roman" w:hAnsi="Times New Roman" w:cs="Times New Roman"/>
          <w:color w:val="auto"/>
          <w:sz w:val="21"/>
          <w:szCs w:val="22"/>
          <w:highlight w:val="none"/>
          <w:u w:val="none"/>
          <w:lang w:val="en-US" w:eastAsia="zh-CN"/>
        </w:rPr>
        <w:t>负责人</w:t>
      </w:r>
      <w:r>
        <w:rPr>
          <w:rFonts w:hint="default" w:ascii="Times New Roman" w:hAnsi="Times New Roman" w:cs="Times New Roman"/>
          <w:color w:val="auto"/>
          <w:sz w:val="21"/>
          <w:szCs w:val="22"/>
          <w:highlight w:val="none"/>
          <w:u w:val="none"/>
          <w:lang w:val="en-US" w:eastAsia="zh-CN"/>
        </w:rPr>
        <w:t>1名，具备以下资格条件：</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①</w:t>
      </w:r>
      <w:r>
        <w:rPr>
          <w:rFonts w:hint="default" w:ascii="Times New Roman" w:hAnsi="Times New Roman" w:cs="Times New Roman"/>
          <w:color w:val="auto"/>
          <w:sz w:val="21"/>
          <w:szCs w:val="22"/>
          <w:highlight w:val="none"/>
          <w:u w:val="none"/>
          <w:lang w:val="en-US" w:eastAsia="zh-CN"/>
        </w:rPr>
        <w:t>具备</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相应的</w:t>
      </w:r>
      <w:r>
        <w:rPr>
          <w:rFonts w:hint="default" w:ascii="Times New Roman" w:hAnsi="Times New Roman" w:cs="Times New Roman" w:eastAsiaTheme="minorEastAsia"/>
          <w:i w:val="0"/>
          <w:iCs w:val="0"/>
          <w:color w:val="auto"/>
          <w:kern w:val="2"/>
          <w:sz w:val="21"/>
          <w:szCs w:val="22"/>
          <w:highlight w:val="none"/>
          <w:u w:val="single"/>
          <w:lang w:val="en-US" w:eastAsia="zh-CN" w:bidi="ar"/>
        </w:rPr>
        <w:t>资产评估</w:t>
      </w:r>
      <w:r>
        <w:rPr>
          <w:rFonts w:hint="default" w:ascii="Times New Roman" w:hAnsi="Times New Roman" w:cs="Times New Roman"/>
          <w:color w:val="auto"/>
          <w:sz w:val="21"/>
          <w:szCs w:val="22"/>
          <w:highlight w:val="none"/>
          <w:u w:val="none"/>
          <w:lang w:val="en-US" w:eastAsia="zh-CN"/>
        </w:rPr>
        <w:t>__资格；</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eastAsia" w:ascii="Times New Roman" w:hAnsi="Times New Roman" w:cs="Times New Roman"/>
          <w:color w:val="auto"/>
          <w:sz w:val="21"/>
          <w:szCs w:val="22"/>
          <w:highlight w:val="none"/>
          <w:u w:val="none"/>
          <w:lang w:val="en-US" w:eastAsia="zh-CN"/>
        </w:rPr>
        <w:t>②</w:t>
      </w:r>
      <w:r>
        <w:rPr>
          <w:rFonts w:hint="default" w:ascii="Times New Roman" w:hAnsi="Times New Roman" w:cs="Times New Roman"/>
          <w:color w:val="auto"/>
          <w:sz w:val="21"/>
          <w:szCs w:val="22"/>
          <w:highlight w:val="none"/>
          <w:u w:val="none"/>
          <w:lang w:val="en-US" w:eastAsia="zh-CN"/>
        </w:rPr>
        <w:t>近</w:t>
      </w:r>
      <w:r>
        <w:rPr>
          <w:rFonts w:hint="eastAsia" w:ascii="Times New Roman" w:hAnsi="Times New Roman" w:cs="Times New Roman"/>
          <w:color w:val="auto"/>
          <w:sz w:val="21"/>
          <w:szCs w:val="22"/>
          <w:highlight w:val="none"/>
          <w:u w:val="none"/>
          <w:lang w:val="en-US" w:eastAsia="zh-CN"/>
        </w:rPr>
        <w:t>三</w:t>
      </w:r>
      <w:r>
        <w:rPr>
          <w:rFonts w:hint="default" w:ascii="Times New Roman" w:hAnsi="Times New Roman" w:cs="Times New Roman"/>
          <w:color w:val="auto"/>
          <w:sz w:val="21"/>
          <w:szCs w:val="22"/>
          <w:highlight w:val="none"/>
          <w:u w:val="none"/>
          <w:lang w:val="en-US" w:eastAsia="zh-CN"/>
        </w:rPr>
        <w:t>年（指</w:t>
      </w:r>
      <w:r>
        <w:rPr>
          <w:rFonts w:hint="eastAsia" w:ascii="Times New Roman" w:hAnsi="Times New Roman" w:cs="Times New Roman"/>
          <w:color w:val="auto"/>
          <w:sz w:val="21"/>
          <w:szCs w:val="22"/>
          <w:highlight w:val="none"/>
          <w:u w:val="none"/>
          <w:lang w:val="en-US" w:eastAsia="zh-CN"/>
        </w:rPr>
        <w:t>2019</w:t>
      </w:r>
      <w:r>
        <w:rPr>
          <w:rFonts w:hint="default" w:ascii="Times New Roman" w:hAnsi="Times New Roman" w:cs="Times New Roman"/>
          <w:color w:val="auto"/>
          <w:sz w:val="21"/>
          <w:szCs w:val="22"/>
          <w:highlight w:val="none"/>
          <w:u w:val="none"/>
          <w:lang w:val="en-US" w:eastAsia="zh-CN"/>
        </w:rPr>
        <w:t>年</w:t>
      </w:r>
      <w:r>
        <w:rPr>
          <w:rFonts w:hint="eastAsia" w:ascii="Times New Roman" w:hAnsi="Times New Roman" w:cs="Times New Roman"/>
          <w:color w:val="auto"/>
          <w:sz w:val="21"/>
          <w:szCs w:val="22"/>
          <w:highlight w:val="none"/>
          <w:u w:val="none"/>
          <w:lang w:val="en-US" w:eastAsia="zh-CN"/>
        </w:rPr>
        <w:t>1</w:t>
      </w:r>
      <w:r>
        <w:rPr>
          <w:rFonts w:hint="default" w:ascii="Times New Roman" w:hAnsi="Times New Roman" w:cs="Times New Roman"/>
          <w:color w:val="auto"/>
          <w:sz w:val="21"/>
          <w:szCs w:val="22"/>
          <w:highlight w:val="none"/>
          <w:u w:val="none"/>
          <w:lang w:val="en-US" w:eastAsia="zh-CN"/>
        </w:rPr>
        <w:t>月</w:t>
      </w:r>
      <w:r>
        <w:rPr>
          <w:rFonts w:hint="eastAsia" w:ascii="Times New Roman" w:hAnsi="Times New Roman" w:cs="Times New Roman"/>
          <w:color w:val="auto"/>
          <w:sz w:val="21"/>
          <w:szCs w:val="22"/>
          <w:highlight w:val="none"/>
          <w:u w:val="none"/>
          <w:lang w:val="en-US" w:eastAsia="zh-CN"/>
        </w:rPr>
        <w:t>1</w:t>
      </w:r>
      <w:r>
        <w:rPr>
          <w:rFonts w:hint="default" w:ascii="Times New Roman" w:hAnsi="Times New Roman" w:cs="Times New Roman"/>
          <w:color w:val="auto"/>
          <w:sz w:val="21"/>
          <w:szCs w:val="22"/>
          <w:highlight w:val="none"/>
          <w:u w:val="none"/>
          <w:lang w:val="en-US" w:eastAsia="zh-CN"/>
        </w:rPr>
        <w:t>日至响应文件递交截止日期）</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color w:val="auto"/>
          <w:sz w:val="21"/>
          <w:szCs w:val="22"/>
          <w:highlight w:val="none"/>
          <w:u w:val="none"/>
          <w:lang w:val="en-US" w:eastAsia="zh-CN"/>
        </w:rPr>
        <w:t>具备_</w:t>
      </w:r>
      <w:r>
        <w:rPr>
          <w:rFonts w:hint="eastAsia" w:ascii="Times New Roman" w:hAnsi="Times New Roman" w:cs="Times New Roman"/>
          <w:szCs w:val="22"/>
          <w:u w:val="single"/>
        </w:rPr>
        <w:t>完成（作为项目负责人）</w:t>
      </w:r>
      <w:r>
        <w:rPr>
          <w:rFonts w:hint="eastAsia" w:ascii="Times New Roman" w:hAnsi="Times New Roman" w:cs="Times New Roman"/>
          <w:szCs w:val="22"/>
          <w:u w:val="single"/>
          <w:lang w:val="en-US" w:eastAsia="zh-CN"/>
        </w:rPr>
        <w:t>3</w:t>
      </w:r>
      <w:r>
        <w:rPr>
          <w:rFonts w:hint="eastAsia" w:ascii="Times New Roman" w:hAnsi="Times New Roman" w:cs="Times New Roman"/>
          <w:szCs w:val="22"/>
          <w:u w:val="single"/>
        </w:rPr>
        <w:t>个</w:t>
      </w:r>
      <w:r>
        <w:rPr>
          <w:rFonts w:hint="eastAsia" w:ascii="Times New Roman" w:hAnsi="Times New Roman" w:cs="Times New Roman"/>
          <w:szCs w:val="22"/>
          <w:highlight w:val="none"/>
          <w:u w:val="single"/>
        </w:rPr>
        <w:t>（含）以上</w:t>
      </w:r>
      <w:r>
        <w:rPr>
          <w:rFonts w:hint="eastAsia" w:ascii="Times New Roman" w:hAnsi="Times New Roman" w:cs="Times New Roman"/>
          <w:szCs w:val="22"/>
          <w:highlight w:val="none"/>
          <w:u w:val="single"/>
          <w:lang w:eastAsia="zh-CN"/>
        </w:rPr>
        <w:t>资产评估项目</w:t>
      </w:r>
      <w:r>
        <w:rPr>
          <w:rFonts w:hint="eastAsia" w:ascii="Times New Roman" w:hAnsi="Times New Roman" w:cs="Times New Roman"/>
          <w:szCs w:val="22"/>
          <w:u w:val="single"/>
        </w:rPr>
        <w:t>的</w:t>
      </w:r>
      <w:r>
        <w:rPr>
          <w:rFonts w:hint="eastAsia" w:ascii="Times New Roman" w:hAnsi="Times New Roman" w:cs="Times New Roman"/>
          <w:color w:val="auto"/>
          <w:sz w:val="21"/>
          <w:szCs w:val="22"/>
          <w:highlight w:val="none"/>
          <w:u w:val="none"/>
          <w:lang w:val="en-US" w:eastAsia="zh-CN"/>
        </w:rPr>
        <w:t>个</w:t>
      </w:r>
      <w:r>
        <w:rPr>
          <w:rFonts w:hint="default" w:ascii="Times New Roman" w:hAnsi="Times New Roman" w:cs="Times New Roman"/>
          <w:color w:val="auto"/>
          <w:sz w:val="21"/>
          <w:szCs w:val="22"/>
          <w:highlight w:val="none"/>
          <w:u w:val="none"/>
          <w:lang w:val="en-US" w:eastAsia="zh-CN"/>
        </w:rPr>
        <w:t>人业绩。</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u w:val="none"/>
          <w:lang w:val="en-US" w:eastAsia="zh-CN"/>
        </w:rPr>
        <w:t>对供应商其他人员的要求：</w:t>
      </w:r>
      <w:r>
        <w:rPr>
          <w:rFonts w:hint="default" w:ascii="Times New Roman" w:hAnsi="Times New Roman" w:cs="Times New Roman"/>
          <w:color w:val="auto"/>
          <w:sz w:val="18"/>
          <w:szCs w:val="21"/>
          <w:highlight w:val="none"/>
          <w:lang w:val="en-US" w:eastAsia="zh-CN"/>
        </w:rPr>
        <w:t>__</w:t>
      </w:r>
      <w:r>
        <w:rPr>
          <w:rFonts w:hint="eastAsia" w:ascii="Times New Roman" w:hAnsi="Times New Roman" w:cs="Times New Roman" w:eastAsiaTheme="minorEastAsia"/>
          <w:kern w:val="2"/>
          <w:sz w:val="21"/>
          <w:szCs w:val="22"/>
          <w:u w:val="single"/>
          <w:lang w:val="en-US" w:eastAsia="zh-CN" w:bidi="ar-SA"/>
        </w:rPr>
        <w:t>团队其他成员（不含项目负责人）不得少于</w:t>
      </w:r>
      <w:r>
        <w:rPr>
          <w:rFonts w:hint="eastAsia" w:ascii="Times New Roman" w:hAnsi="Times New Roman" w:cs="Times New Roman"/>
          <w:kern w:val="2"/>
          <w:sz w:val="21"/>
          <w:szCs w:val="22"/>
          <w:u w:val="single"/>
          <w:lang w:val="en-US" w:eastAsia="zh-CN" w:bidi="ar-SA"/>
        </w:rPr>
        <w:t>2</w:t>
      </w:r>
      <w:r>
        <w:rPr>
          <w:rFonts w:hint="eastAsia" w:ascii="Times New Roman" w:hAnsi="Times New Roman" w:cs="Times New Roman" w:eastAsiaTheme="minorEastAsia"/>
          <w:kern w:val="2"/>
          <w:sz w:val="21"/>
          <w:szCs w:val="22"/>
          <w:u w:val="single"/>
          <w:lang w:val="en-US" w:eastAsia="zh-CN" w:bidi="ar-SA"/>
        </w:rPr>
        <w:t>人，应</w:t>
      </w:r>
      <w:r>
        <w:rPr>
          <w:rFonts w:hint="eastAsia" w:ascii="Times New Roman" w:hAnsi="Times New Roman" w:cs="Times New Roman"/>
          <w:kern w:val="2"/>
          <w:sz w:val="21"/>
          <w:szCs w:val="22"/>
          <w:u w:val="single"/>
          <w:lang w:val="en-US" w:eastAsia="zh-CN" w:bidi="ar-SA"/>
        </w:rPr>
        <w:t>至少</w:t>
      </w:r>
      <w:r>
        <w:rPr>
          <w:rFonts w:hint="eastAsia" w:ascii="Times New Roman" w:hAnsi="Times New Roman" w:cs="Times New Roman" w:eastAsiaTheme="minorEastAsia"/>
          <w:kern w:val="2"/>
          <w:sz w:val="21"/>
          <w:szCs w:val="22"/>
          <w:u w:val="single"/>
          <w:lang w:val="en-US" w:eastAsia="zh-CN" w:bidi="ar-SA"/>
        </w:rPr>
        <w:t>具备</w:t>
      </w:r>
      <w:r>
        <w:rPr>
          <w:rFonts w:hint="eastAsia" w:ascii="Times New Roman" w:hAnsi="Times New Roman" w:cs="Times New Roman"/>
          <w:kern w:val="2"/>
          <w:sz w:val="21"/>
          <w:szCs w:val="22"/>
          <w:u w:val="single"/>
          <w:lang w:val="en-US" w:eastAsia="zh-CN" w:bidi="ar-SA"/>
        </w:rPr>
        <w:t>资产评估</w:t>
      </w:r>
      <w:r>
        <w:rPr>
          <w:rFonts w:hint="eastAsia" w:ascii="Times New Roman" w:hAnsi="Times New Roman" w:cs="Times New Roman" w:eastAsiaTheme="minorEastAsia"/>
          <w:kern w:val="2"/>
          <w:sz w:val="21"/>
          <w:szCs w:val="22"/>
          <w:u w:val="single"/>
          <w:lang w:val="en-US" w:eastAsia="zh-CN" w:bidi="ar-SA"/>
        </w:rPr>
        <w:t>项目经验</w:t>
      </w:r>
      <w:r>
        <w:rPr>
          <w:rFonts w:hint="default" w:ascii="Times New Roman" w:hAnsi="Times New Roman" w:cs="Times New Roman"/>
          <w:color w:val="auto"/>
          <w:sz w:val="18"/>
          <w:szCs w:val="21"/>
          <w:highlight w:val="none"/>
          <w:lang w:val="en-US" w:eastAsia="zh-CN"/>
        </w:rPr>
        <w:t>。</w:t>
      </w:r>
    </w:p>
    <w:p>
      <w:pPr>
        <w:snapToGrid w:val="0"/>
        <w:spacing w:line="440" w:lineRule="exact"/>
        <w:ind w:firstLine="420" w:firstLineChars="200"/>
        <w:rPr>
          <w:rFonts w:hint="default"/>
          <w:highlight w:val="none"/>
          <w:lang w:val="en-US" w:eastAsia="zh-CN"/>
        </w:rPr>
      </w:pPr>
      <w:r>
        <w:rPr>
          <w:rFonts w:hint="eastAsia" w:ascii="Times New Roman" w:hAnsi="Times New Roman" w:cs="Times New Roman"/>
          <w:b/>
          <w:bCs/>
          <w:i w:val="0"/>
          <w:iCs w:val="0"/>
          <w:color w:val="auto"/>
          <w:kern w:val="2"/>
          <w:sz w:val="21"/>
          <w:szCs w:val="22"/>
          <w:highlight w:val="none"/>
          <w:u w:val="none"/>
          <w:lang w:val="en-US" w:eastAsia="zh-CN" w:bidi="ar"/>
        </w:rPr>
        <w:t>（注：提供主要人员资格证明、提供近三年个人业绩证明。）</w:t>
      </w:r>
    </w:p>
    <w:p>
      <w:pPr>
        <w:numPr>
          <w:ilvl w:val="0"/>
          <w:numId w:val="3"/>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信誉要求最低要求：</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snapToGrid w:val="0"/>
        <w:spacing w:line="440" w:lineRule="exact"/>
        <w:ind w:firstLine="420" w:firstLineChars="200"/>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向前追溯3年）供应商或其法定代表人、拟委任的项目</w:t>
      </w:r>
      <w:r>
        <w:rPr>
          <w:rFonts w:hint="eastAsia" w:ascii="Times New Roman" w:hAnsi="Times New Roman" w:cs="Times New Roman"/>
          <w:color w:val="auto"/>
          <w:sz w:val="21"/>
          <w:szCs w:val="22"/>
          <w:highlight w:val="none"/>
          <w:u w:val="none"/>
          <w:lang w:val="en-US" w:eastAsia="zh-CN"/>
        </w:rPr>
        <w:t>负责人未</w:t>
      </w:r>
      <w:r>
        <w:rPr>
          <w:rFonts w:hint="default" w:ascii="Times New Roman" w:hAnsi="Times New Roman" w:cs="Times New Roman"/>
          <w:color w:val="auto"/>
          <w:sz w:val="21"/>
          <w:szCs w:val="22"/>
          <w:highlight w:val="none"/>
          <w:u w:val="none"/>
          <w:lang w:val="en-US" w:eastAsia="zh-CN"/>
        </w:rPr>
        <w:t>有行贿犯罪行为。</w:t>
      </w:r>
    </w:p>
    <w:p>
      <w:pPr>
        <w:keepNext w:val="0"/>
        <w:keepLines w:val="0"/>
        <w:pageBreakBefore w:val="0"/>
        <w:widowControl/>
        <w:suppressLineNumbers w:val="0"/>
        <w:kinsoku/>
        <w:wordWrap/>
        <w:overflowPunct/>
        <w:topLinePunct w:val="0"/>
        <w:autoSpaceDE/>
        <w:autoSpaceDN/>
        <w:bidi w:val="0"/>
        <w:adjustRightInd/>
        <w:snapToGrid w:val="0"/>
        <w:spacing w:line="440" w:lineRule="exact"/>
        <w:ind w:firstLine="420" w:firstLineChars="200"/>
        <w:jc w:val="left"/>
        <w:textAlignment w:val="auto"/>
        <w:rPr>
          <w:rFonts w:hint="default" w:ascii="Times New Roman" w:hAnsi="Times New Roman" w:cs="Times New Roman" w:eastAsiaTheme="minorEastAsia"/>
          <w:i w:val="0"/>
          <w:iCs w:val="0"/>
          <w:color w:val="auto"/>
          <w:kern w:val="2"/>
          <w:sz w:val="21"/>
          <w:szCs w:val="22"/>
          <w:highlight w:val="yellow"/>
          <w:u w:val="single"/>
          <w:lang w:val="en-US" w:eastAsia="zh-CN" w:bidi="ar"/>
        </w:rPr>
      </w:pPr>
      <w:r>
        <w:rPr>
          <w:rFonts w:hint="eastAsia" w:ascii="Times New Roman" w:hAnsi="Times New Roman"/>
          <w:color w:val="auto"/>
          <w:highlight w:val="none"/>
          <w:lang w:val="en-US" w:eastAsia="zh-CN"/>
        </w:rPr>
        <w:t>⑥</w:t>
      </w:r>
      <w:r>
        <w:rPr>
          <w:rFonts w:hint="eastAsia" w:ascii="Times New Roman" w:hAnsi="Times New Roman" w:eastAsiaTheme="minorEastAsia"/>
          <w:color w:val="auto"/>
          <w:highlight w:val="none"/>
          <w:lang w:val="en-US" w:eastAsia="zh-CN"/>
        </w:rPr>
        <w:t>其他要求：</w:t>
      </w:r>
      <w:r>
        <w:rPr>
          <w:rFonts w:hint="eastAsia" w:ascii="Times New Roman" w:hAnsi="Times New Roman"/>
          <w:color w:val="auto"/>
          <w:highlight w:val="none"/>
          <w:u w:val="single"/>
          <w:lang w:val="en-US" w:eastAsia="zh-CN"/>
        </w:rPr>
        <w:t>供应商及拟委任本项目资产评估师年检合格，近三年内（</w:t>
      </w:r>
      <w:r>
        <w:rPr>
          <w:rFonts w:hint="default" w:ascii="Times New Roman" w:hAnsi="Times New Roman" w:cs="Times New Roman"/>
          <w:color w:val="auto"/>
          <w:sz w:val="21"/>
          <w:szCs w:val="22"/>
          <w:highlight w:val="none"/>
          <w:u w:val="single"/>
          <w:lang w:val="en-US" w:eastAsia="zh-CN"/>
        </w:rPr>
        <w:t>自</w:t>
      </w:r>
      <w:r>
        <w:rPr>
          <w:rFonts w:hint="eastAsia" w:ascii="Times New Roman" w:hAnsi="Times New Roman" w:cs="Times New Roman"/>
          <w:color w:val="auto"/>
          <w:sz w:val="21"/>
          <w:szCs w:val="22"/>
          <w:highlight w:val="none"/>
          <w:u w:val="single"/>
          <w:lang w:val="en-US" w:eastAsia="zh-CN"/>
        </w:rPr>
        <w:t>响应文件递交截止之日</w:t>
      </w:r>
      <w:r>
        <w:rPr>
          <w:rFonts w:hint="default" w:ascii="Times New Roman" w:hAnsi="Times New Roman" w:cs="Times New Roman"/>
          <w:color w:val="auto"/>
          <w:sz w:val="21"/>
          <w:szCs w:val="22"/>
          <w:highlight w:val="none"/>
          <w:u w:val="single"/>
          <w:lang w:val="en-US" w:eastAsia="zh-CN"/>
        </w:rPr>
        <w:t>向前追溯</w:t>
      </w:r>
      <w:r>
        <w:rPr>
          <w:rFonts w:hint="eastAsia" w:ascii="Times New Roman" w:hAnsi="Times New Roman" w:cs="Times New Roman"/>
          <w:color w:val="auto"/>
          <w:sz w:val="21"/>
          <w:szCs w:val="22"/>
          <w:highlight w:val="none"/>
          <w:u w:val="single"/>
          <w:lang w:val="en-US" w:eastAsia="zh-CN"/>
        </w:rPr>
        <w:t>3年</w:t>
      </w:r>
      <w:r>
        <w:rPr>
          <w:rFonts w:hint="eastAsia" w:ascii="Times New Roman" w:hAnsi="Times New Roman"/>
          <w:color w:val="auto"/>
          <w:highlight w:val="none"/>
          <w:u w:val="single"/>
          <w:lang w:val="en-US" w:eastAsia="zh-CN"/>
        </w:rPr>
        <w:t>）未有因违反职业操作规定而受到相关主管部门的违规处理</w:t>
      </w:r>
      <w:r>
        <w:rPr>
          <w:rFonts w:hint="eastAsia" w:ascii="Times New Roman" w:hAnsi="Times New Roman"/>
          <w:color w:val="auto"/>
          <w:highlight w:val="none"/>
          <w:lang w:val="en-US" w:eastAsia="zh-CN"/>
        </w:rPr>
        <w:t>；</w:t>
      </w:r>
      <w:r>
        <w:rPr>
          <w:rFonts w:hint="default" w:ascii="Times New Roman" w:hAnsi="Times New Roman" w:cs="Times New Roman" w:eastAsiaTheme="minorEastAsia"/>
          <w:i w:val="0"/>
          <w:iCs w:val="0"/>
          <w:color w:val="auto"/>
          <w:kern w:val="2"/>
          <w:sz w:val="21"/>
          <w:szCs w:val="22"/>
          <w:highlight w:val="none"/>
          <w:u w:val="single"/>
          <w:lang w:val="en-US" w:eastAsia="zh-CN" w:bidi="ar"/>
        </w:rPr>
        <w:t>没有承担被评估项目的清产核资、财务审计、财务顾问业务</w:t>
      </w:r>
      <w:r>
        <w:rPr>
          <w:rFonts w:hint="eastAsia" w:ascii="Times New Roman" w:hAnsi="Times New Roman" w:cs="Times New Roman"/>
          <w:i w:val="0"/>
          <w:iCs w:val="0"/>
          <w:color w:val="auto"/>
          <w:kern w:val="2"/>
          <w:sz w:val="21"/>
          <w:szCs w:val="22"/>
          <w:highlight w:val="none"/>
          <w:u w:val="single"/>
          <w:lang w:val="en-US" w:eastAsia="zh-CN" w:bidi="ar"/>
        </w:rPr>
        <w:t>。</w:t>
      </w:r>
    </w:p>
    <w:p>
      <w:pPr>
        <w:snapToGrid w:val="0"/>
        <w:spacing w:line="440" w:lineRule="exact"/>
        <w:ind w:firstLine="420" w:firstLineChars="200"/>
        <w:rPr>
          <w:rFonts w:hint="eastAsia" w:ascii="Times New Roman" w:hAnsi="Times New Roman" w:eastAsiaTheme="minorEastAsia"/>
          <w:color w:val="auto"/>
          <w:highlight w:val="none"/>
          <w:lang w:val="en-US" w:eastAsia="zh-CN"/>
        </w:rPr>
      </w:pPr>
      <w:r>
        <w:rPr>
          <w:rFonts w:hint="eastAsia" w:ascii="Times New Roman" w:hAnsi="Times New Roman" w:cs="Times New Roman"/>
          <w:b/>
          <w:bCs/>
          <w:i w:val="0"/>
          <w:iCs w:val="0"/>
          <w:color w:val="auto"/>
          <w:kern w:val="2"/>
          <w:sz w:val="21"/>
          <w:szCs w:val="22"/>
          <w:highlight w:val="none"/>
          <w:u w:val="none"/>
          <w:lang w:val="en-US" w:eastAsia="zh-CN" w:bidi="ar"/>
        </w:rPr>
        <w:t>（注：按采购人响应文件格式提供。）</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18"/>
          <w:szCs w:val="21"/>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6"/>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8" w:name="_Toc2996_WPSOffice_Level2"/>
      <w:bookmarkStart w:id="29" w:name="_Toc525632588"/>
      <w:bookmarkStart w:id="30" w:name="_Toc4109_WPSOffice_Level2"/>
      <w:bookmarkStart w:id="31" w:name="_Toc4751"/>
      <w:bookmarkStart w:id="32" w:name="_Toc25666_WPSOffice_Level2"/>
      <w:bookmarkStart w:id="33" w:name="_Toc29452_WPSOffice_Level2"/>
      <w:bookmarkStart w:id="34"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8"/>
      <w:bookmarkEnd w:id="29"/>
      <w:bookmarkEnd w:id="30"/>
      <w:bookmarkEnd w:id="31"/>
      <w:bookmarkEnd w:id="32"/>
      <w:bookmarkEnd w:id="33"/>
      <w:bookmarkEnd w:id="34"/>
    </w:p>
    <w:p>
      <w:pPr>
        <w:pStyle w:val="1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rPr>
      </w:pPr>
      <w:r>
        <w:rPr>
          <w:rFonts w:ascii="Times New Roman" w:hAnsi="Times New Roman" w:cs="Times New Roman"/>
          <w:szCs w:val="22"/>
          <w:highlight w:val="none"/>
        </w:rPr>
        <w:t>供应商应在递交响应文件的截止时间前登录</w:t>
      </w:r>
      <w:r>
        <w:rPr>
          <w:rFonts w:hint="eastAsia" w:ascii="宋体" w:hAnsi="宋体" w:cs="宋体"/>
          <w:kern w:val="0"/>
          <w:szCs w:val="21"/>
          <w:highlight w:val="none"/>
        </w:rPr>
        <w:t>安徽省交运集团有限公司网站（https://www.ahjyjt.com.cn/）</w:t>
      </w:r>
      <w:r>
        <w:rPr>
          <w:rFonts w:ascii="Times New Roman" w:hAnsi="Times New Roman" w:cs="Times New Roman"/>
          <w:szCs w:val="22"/>
          <w:highlight w:val="none"/>
        </w:rPr>
        <w:t>，自行下载</w:t>
      </w:r>
      <w:r>
        <w:rPr>
          <w:rFonts w:hint="eastAsia" w:ascii="Times New Roman" w:hAnsi="Times New Roman" w:cs="Times New Roman"/>
          <w:szCs w:val="22"/>
          <w:highlight w:val="none"/>
        </w:rPr>
        <w:t>询比文件</w:t>
      </w:r>
      <w:r>
        <w:rPr>
          <w:rFonts w:ascii="Times New Roman" w:hAnsi="Times New Roman" w:cs="Times New Roman"/>
          <w:szCs w:val="22"/>
          <w:highlight w:val="none"/>
        </w:rPr>
        <w:t>及相关资料</w:t>
      </w:r>
      <w:r>
        <w:rPr>
          <w:rFonts w:ascii="Times New Roman" w:hAnsi="Times New Roman" w:cs="Times New Roman"/>
          <w:szCs w:val="21"/>
          <w:highlight w:val="none"/>
        </w:rPr>
        <w:t>。</w:t>
      </w:r>
    </w:p>
    <w:p>
      <w:pPr>
        <w:pStyle w:val="6"/>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89"/>
      <w:bookmarkStart w:id="36" w:name="_Toc726"/>
      <w:r>
        <w:rPr>
          <w:rFonts w:hint="default" w:ascii="Times New Roman" w:hAnsi="Times New Roman" w:eastAsia="黑体" w:cs="Times New Roman"/>
          <w:bCs w:val="0"/>
          <w:color w:val="auto"/>
          <w:sz w:val="22"/>
          <w:szCs w:val="15"/>
          <w:highlight w:val="none"/>
        </w:rPr>
        <w:t>响应文件的递交</w:t>
      </w:r>
      <w:bookmarkEnd w:id="35"/>
      <w:bookmarkEnd w:id="36"/>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2022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12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eastAsia="zh-CN"/>
        </w:rPr>
        <w:t>　</w:t>
      </w:r>
      <w:r>
        <w:rPr>
          <w:rFonts w:hint="eastAsia" w:ascii="Times New Roman" w:hAnsi="Times New Roman" w:cs="Times New Roman"/>
          <w:color w:val="auto"/>
          <w:szCs w:val="22"/>
          <w:highlight w:val="none"/>
          <w:u w:val="single"/>
          <w:lang w:val="en-US" w:eastAsia="zh-CN"/>
        </w:rPr>
        <w:t>2022</w:t>
      </w:r>
      <w:r>
        <w:rPr>
          <w:rFonts w:hint="eastAsia" w:ascii="Times New Roman" w:hAnsi="Times New Roman" w:cs="Times New Roman"/>
          <w:color w:val="auto"/>
          <w:szCs w:val="22"/>
          <w:highlight w:val="none"/>
          <w:u w:val="single"/>
          <w:lang w:eastAsia="zh-CN"/>
        </w:rPr>
        <w:t>　</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11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szCs w:val="22"/>
          <w:u w:val="single"/>
        </w:rPr>
        <w:t>安徽省</w:t>
      </w:r>
      <w:r>
        <w:rPr>
          <w:rFonts w:hint="eastAsia" w:ascii="Times New Roman" w:hAnsi="Times New Roman" w:cs="Times New Roman"/>
          <w:szCs w:val="22"/>
          <w:u w:val="single"/>
          <w:lang w:eastAsia="zh-CN"/>
        </w:rPr>
        <w:t>交运集团</w:t>
      </w:r>
      <w:r>
        <w:rPr>
          <w:rFonts w:hint="eastAsia" w:ascii="Times New Roman" w:hAnsi="Times New Roman" w:cs="Times New Roman"/>
          <w:szCs w:val="22"/>
          <w:u w:val="single"/>
        </w:rPr>
        <w:t>有限公司</w:t>
      </w:r>
      <w:r>
        <w:rPr>
          <w:rFonts w:hint="eastAsia" w:ascii="Times New Roman" w:hAnsi="Times New Roman" w:cs="Times New Roman"/>
          <w:szCs w:val="22"/>
          <w:u w:val="single"/>
          <w:lang w:eastAsia="zh-CN"/>
        </w:rPr>
        <w:t>九</w:t>
      </w:r>
      <w:r>
        <w:rPr>
          <w:rFonts w:hint="eastAsia" w:ascii="Times New Roman" w:hAnsi="Times New Roman" w:cs="Times New Roman"/>
          <w:szCs w:val="22"/>
          <w:u w:val="single"/>
        </w:rPr>
        <w:t>楼</w:t>
      </w:r>
      <w:r>
        <w:rPr>
          <w:rFonts w:hint="eastAsia" w:ascii="Times New Roman" w:hAnsi="Times New Roman" w:cs="Times New Roman"/>
          <w:szCs w:val="22"/>
          <w:u w:val="single"/>
          <w:lang w:eastAsia="zh-CN"/>
        </w:rPr>
        <w:t>审计部</w:t>
      </w:r>
      <w:r>
        <w:rPr>
          <w:rFonts w:hint="eastAsia" w:ascii="Times New Roman" w:hAnsi="Times New Roman" w:cs="Times New Roman"/>
          <w:szCs w:val="22"/>
          <w:u w:val="single"/>
        </w:rPr>
        <w:t>(安徽省合肥市</w:t>
      </w:r>
      <w:r>
        <w:rPr>
          <w:rFonts w:hint="eastAsia" w:ascii="Times New Roman" w:hAnsi="Times New Roman" w:cs="Times New Roman"/>
          <w:szCs w:val="22"/>
          <w:u w:val="single"/>
          <w:lang w:eastAsia="zh-CN"/>
        </w:rPr>
        <w:t>瑶海区胜利</w:t>
      </w:r>
      <w:r>
        <w:rPr>
          <w:rFonts w:hint="eastAsia" w:ascii="Times New Roman" w:hAnsi="Times New Roman" w:cs="Times New Roman"/>
          <w:szCs w:val="22"/>
          <w:u w:val="single"/>
        </w:rPr>
        <w:t>路</w:t>
      </w:r>
      <w:r>
        <w:rPr>
          <w:rFonts w:hint="eastAsia" w:ascii="Times New Roman" w:hAnsi="Times New Roman" w:cs="Times New Roman"/>
          <w:szCs w:val="22"/>
          <w:u w:val="single"/>
          <w:lang w:val="en-US" w:eastAsia="zh-CN"/>
        </w:rPr>
        <w:t>35</w:t>
      </w:r>
      <w:r>
        <w:rPr>
          <w:rFonts w:hint="eastAsia" w:ascii="Times New Roman" w:hAnsi="Times New Roman" w:cs="Times New Roman"/>
          <w:szCs w:val="22"/>
          <w:u w:val="single"/>
        </w:rPr>
        <w:t>号)</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6"/>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2719"/>
      <w:bookmarkStart w:id="38" w:name="_Toc525632591"/>
      <w:r>
        <w:rPr>
          <w:rFonts w:hint="default" w:ascii="Times New Roman" w:hAnsi="Times New Roman" w:eastAsia="黑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cs="Times New Roman" w:eastAsiaTheme="minorEastAsia"/>
          <w:strike/>
          <w:color w:val="auto"/>
          <w:sz w:val="21"/>
          <w:szCs w:val="22"/>
          <w:highlight w:val="yellow"/>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到后，采购人将于__</w:t>
      </w:r>
      <w:r>
        <w:rPr>
          <w:rFonts w:hint="eastAsia" w:ascii="Times New Roman" w:hAnsi="Times New Roman" w:cs="Times New Roman"/>
          <w:szCs w:val="22"/>
          <w:u w:val="single"/>
        </w:rPr>
        <w:t>安徽省</w:t>
      </w:r>
      <w:r>
        <w:rPr>
          <w:rFonts w:hint="eastAsia" w:ascii="Times New Roman" w:hAnsi="Times New Roman" w:cs="Times New Roman"/>
          <w:szCs w:val="22"/>
          <w:u w:val="single"/>
          <w:lang w:eastAsia="zh-CN"/>
        </w:rPr>
        <w:t>交运集团</w:t>
      </w:r>
      <w:r>
        <w:rPr>
          <w:rFonts w:hint="eastAsia" w:ascii="Times New Roman" w:hAnsi="Times New Roman" w:cs="Times New Roman"/>
          <w:szCs w:val="22"/>
          <w:u w:val="single"/>
        </w:rPr>
        <w:t>有限公司</w:t>
      </w:r>
      <w:r>
        <w:rPr>
          <w:rFonts w:hint="eastAsia" w:ascii="Times New Roman" w:hAnsi="Times New Roman" w:cs="Times New Roman"/>
          <w:szCs w:val="22"/>
          <w:u w:val="single"/>
          <w:lang w:eastAsia="zh-CN"/>
        </w:rPr>
        <w:t>九</w:t>
      </w:r>
      <w:r>
        <w:rPr>
          <w:rFonts w:hint="eastAsia" w:ascii="Times New Roman" w:hAnsi="Times New Roman" w:cs="Times New Roman"/>
          <w:szCs w:val="22"/>
          <w:u w:val="single"/>
        </w:rPr>
        <w:t>楼会议室</w:t>
      </w:r>
      <w:r>
        <w:rPr>
          <w:rFonts w:hint="default" w:ascii="Times New Roman" w:hAnsi="Times New Roman" w:cs="Times New Roman"/>
          <w:color w:val="auto"/>
          <w:sz w:val="21"/>
          <w:szCs w:val="22"/>
          <w:highlight w:val="none"/>
          <w:lang w:val="en-US" w:eastAsia="zh-CN"/>
        </w:rPr>
        <w:t>__（地点）组织进行响应文件的启封。</w:t>
      </w:r>
      <w:r>
        <w:rPr>
          <w:rFonts w:hint="default" w:ascii="Times New Roman" w:hAnsi="Times New Roman" w:cs="Times New Roman"/>
          <w:strike w:val="0"/>
          <w:dstrike w:val="0"/>
          <w:color w:val="auto"/>
          <w:sz w:val="21"/>
          <w:szCs w:val="22"/>
          <w:highlight w:val="none"/>
          <w:lang w:val="en-US" w:eastAsia="zh-CN"/>
        </w:rPr>
        <w:t>供应商的法定代表人或授权代理人</w:t>
      </w:r>
      <w:r>
        <w:rPr>
          <w:rFonts w:hint="eastAsia" w:ascii="Times New Roman" w:hAnsi="Times New Roman" w:cs="Times New Roman"/>
          <w:strike w:val="0"/>
          <w:dstrike w:val="0"/>
          <w:color w:val="auto"/>
          <w:sz w:val="21"/>
          <w:szCs w:val="22"/>
          <w:highlight w:val="none"/>
          <w:lang w:val="en-US" w:eastAsia="zh-CN"/>
        </w:rPr>
        <w:t>可以</w:t>
      </w:r>
      <w:r>
        <w:rPr>
          <w:rFonts w:hint="default" w:ascii="Times New Roman" w:hAnsi="Times New Roman" w:cs="Times New Roman"/>
          <w:strike w:val="0"/>
          <w:dstrike w:val="0"/>
          <w:color w:val="auto"/>
          <w:sz w:val="21"/>
          <w:szCs w:val="22"/>
          <w:highlight w:val="none"/>
          <w:lang w:val="en-US" w:eastAsia="zh-CN"/>
        </w:rPr>
        <w:t>携带本人身份证</w:t>
      </w:r>
      <w:r>
        <w:rPr>
          <w:rFonts w:hint="eastAsia" w:ascii="Times New Roman" w:hAnsi="Times New Roman" w:cs="Times New Roman"/>
          <w:strike w:val="0"/>
          <w:dstrike w:val="0"/>
          <w:color w:val="auto"/>
          <w:sz w:val="21"/>
          <w:szCs w:val="22"/>
          <w:highlight w:val="none"/>
          <w:lang w:val="en-US" w:eastAsia="zh-CN"/>
        </w:rPr>
        <w:t>、</w:t>
      </w:r>
      <w:r>
        <w:rPr>
          <w:rFonts w:hint="eastAsia" w:ascii="Times New Roman" w:hAnsi="Times New Roman" w:cs="Times New Roman"/>
          <w:strike w:val="0"/>
          <w:dstrike w:val="0"/>
          <w:color w:val="auto"/>
          <w:szCs w:val="22"/>
          <w:highlight w:val="none"/>
        </w:rPr>
        <w:t>授权代理人</w:t>
      </w:r>
      <w:r>
        <w:rPr>
          <w:rFonts w:hint="eastAsia" w:ascii="Times New Roman" w:hAnsi="Times New Roman" w:cs="Times New Roman"/>
          <w:strike w:val="0"/>
          <w:dstrike w:val="0"/>
          <w:color w:val="auto"/>
          <w:szCs w:val="22"/>
          <w:highlight w:val="none"/>
          <w:lang w:val="en-US" w:eastAsia="zh-CN"/>
        </w:rPr>
        <w:t>应携带</w:t>
      </w:r>
      <w:r>
        <w:rPr>
          <w:rFonts w:hint="eastAsia" w:ascii="Times New Roman" w:hAnsi="Times New Roman" w:cs="Times New Roman"/>
          <w:strike w:val="0"/>
          <w:dstrike w:val="0"/>
          <w:color w:val="auto"/>
          <w:sz w:val="21"/>
          <w:szCs w:val="22"/>
          <w:highlight w:val="none"/>
          <w:lang w:val="en-US" w:eastAsia="zh-CN"/>
        </w:rPr>
        <w:t>授权委托书</w:t>
      </w:r>
      <w:r>
        <w:rPr>
          <w:rFonts w:hint="default" w:ascii="Times New Roman" w:hAnsi="Times New Roman" w:cs="Times New Roman"/>
          <w:strike w:val="0"/>
          <w:dstrike w:val="0"/>
          <w:color w:val="auto"/>
          <w:sz w:val="21"/>
          <w:szCs w:val="22"/>
          <w:highlight w:val="none"/>
          <w:lang w:val="en-US" w:eastAsia="zh-CN"/>
        </w:rPr>
        <w:t>准时参加启封会议。</w:t>
      </w:r>
    </w:p>
    <w:p>
      <w:pPr>
        <w:pStyle w:val="6"/>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440" w:lineRule="exact"/>
        <w:ind w:firstLine="420" w:firstLineChars="200"/>
        <w:rPr>
          <w:rFonts w:hint="eastAsia" w:ascii="Times New Roman" w:hAnsi="Times New Roman" w:cs="Times New Roman"/>
          <w:color w:val="auto"/>
          <w:sz w:val="21"/>
          <w:szCs w:val="22"/>
          <w:highlight w:val="none"/>
          <w:lang w:val="en-US" w:eastAsia="zh-CN"/>
        </w:rPr>
      </w:pPr>
      <w:r>
        <w:rPr>
          <w:rFonts w:hint="eastAsia" w:ascii="Times New Roman" w:hAnsi="Times New Roman"/>
          <w:color w:val="auto"/>
          <w:highlight w:val="none"/>
          <w:lang w:val="en-US" w:eastAsia="zh-CN"/>
        </w:rPr>
        <w:t>响应保证金的金额：</w:t>
      </w:r>
      <w:r>
        <w:rPr>
          <w:rFonts w:hint="eastAsia" w:ascii="Times New Roman" w:hAnsi="Times New Roman" w:cs="Times New Roman"/>
          <w:szCs w:val="22"/>
          <w:u w:val="single"/>
        </w:rPr>
        <w:t>本项目不收取响应保证金</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w:t>
      </w:r>
    </w:p>
    <w:p>
      <w:pPr>
        <w:snapToGrid w:val="0"/>
        <w:spacing w:line="440" w:lineRule="exact"/>
        <w:ind w:firstLine="42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响应保证金的递交形式：银行转账</w:t>
      </w:r>
    </w:p>
    <w:p>
      <w:pPr>
        <w:snapToGrid w:val="0"/>
        <w:spacing w:line="440" w:lineRule="exact"/>
        <w:ind w:firstLine="42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递交账号：</w:t>
      </w:r>
      <w:r>
        <w:rPr>
          <w:rFonts w:hint="default" w:ascii="Times New Roman" w:hAnsi="Times New Roman" w:cs="Times New Roman"/>
          <w:color w:val="auto"/>
          <w:sz w:val="21"/>
          <w:szCs w:val="22"/>
          <w:highlight w:val="none"/>
          <w:lang w:val="en-US" w:eastAsia="zh-CN"/>
        </w:rPr>
        <w:t>_______</w:t>
      </w:r>
      <w:r>
        <w:rPr>
          <w:rFonts w:hint="eastAsia" w:eastAsia="仿宋_GB2312"/>
          <w:color w:val="auto"/>
          <w:sz w:val="28"/>
          <w:szCs w:val="28"/>
          <w:highlight w:val="none"/>
        </w:rPr>
        <w:t>/</w:t>
      </w:r>
      <w:r>
        <w:rPr>
          <w:rFonts w:hint="default" w:ascii="Times New Roman" w:hAnsi="Times New Roman" w:cs="Times New Roman"/>
          <w:color w:val="auto"/>
          <w:sz w:val="21"/>
          <w:szCs w:val="22"/>
          <w:highlight w:val="none"/>
          <w:lang w:val="en-US" w:eastAsia="zh-CN"/>
        </w:rPr>
        <w:t>_______</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olor w:val="auto"/>
          <w:highlight w:val="none"/>
          <w:lang w:val="en-US" w:eastAsia="zh-CN"/>
        </w:rPr>
        <w:t>递交截止时间：</w:t>
      </w:r>
      <w:r>
        <w:rPr>
          <w:rFonts w:hint="default" w:ascii="Times New Roman" w:hAnsi="Times New Roman" w:cs="Times New Roman"/>
          <w:color w:val="auto"/>
          <w:sz w:val="21"/>
          <w:szCs w:val="22"/>
          <w:highlight w:val="none"/>
          <w:lang w:val="en-US" w:eastAsia="zh-CN"/>
        </w:rPr>
        <w:t>__</w:t>
      </w:r>
      <w:r>
        <w:rPr>
          <w:rFonts w:hint="eastAsia" w:eastAsia="仿宋_GB2312"/>
          <w:color w:val="auto"/>
          <w:sz w:val="28"/>
          <w:szCs w:val="28"/>
          <w:highlight w:val="none"/>
        </w:rPr>
        <w:t>/</w:t>
      </w:r>
      <w:r>
        <w:rPr>
          <w:rFonts w:hint="default" w:ascii="Times New Roman" w:hAnsi="Times New Roman" w:cs="Times New Roman"/>
          <w:color w:val="auto"/>
          <w:sz w:val="21"/>
          <w:szCs w:val="22"/>
          <w:highlight w:val="none"/>
          <w:lang w:val="en-US" w:eastAsia="zh-CN"/>
        </w:rPr>
        <w:t>____________</w:t>
      </w:r>
    </w:p>
    <w:p>
      <w:pPr>
        <w:snapToGrid w:val="0"/>
        <w:spacing w:line="440" w:lineRule="exact"/>
        <w:ind w:firstLine="420" w:firstLineChars="200"/>
        <w:rPr>
          <w:rFonts w:hint="default"/>
          <w:color w:val="auto"/>
        </w:rPr>
      </w:pPr>
      <w:r>
        <w:rPr>
          <w:rFonts w:hint="eastAsia" w:ascii="Times New Roman" w:hAnsi="Times New Roman"/>
          <w:color w:val="auto"/>
          <w:highlight w:val="none"/>
          <w:lang w:val="en-US" w:eastAsia="zh-CN"/>
        </w:rPr>
        <w:t>供应商</w:t>
      </w:r>
      <w:r>
        <w:rPr>
          <w:rFonts w:hint="default" w:ascii="Times New Roman" w:hAnsi="Times New Roman" w:cs="Times New Roman"/>
          <w:color w:val="auto"/>
          <w:szCs w:val="22"/>
          <w:highlight w:val="none"/>
          <w:lang w:val="en-US" w:eastAsia="zh-CN"/>
        </w:rPr>
        <w:t>完成</w:t>
      </w:r>
      <w:r>
        <w:rPr>
          <w:rFonts w:hint="eastAsia" w:ascii="Times New Roman" w:hAnsi="Times New Roman"/>
          <w:color w:val="auto"/>
          <w:highlight w:val="none"/>
          <w:lang w:val="en-US" w:eastAsia="zh-CN"/>
        </w:rPr>
        <w:t>转账的</w:t>
      </w:r>
      <w:r>
        <w:rPr>
          <w:rFonts w:hint="eastAsia" w:ascii="Times New Roman" w:hAnsi="Times New Roman"/>
          <w:color w:val="auto"/>
          <w:highlight w:val="none"/>
        </w:rPr>
        <w:t>银行账户名称</w:t>
      </w:r>
      <w:r>
        <w:rPr>
          <w:rFonts w:hint="eastAsia" w:ascii="Times New Roman" w:hAnsi="Times New Roman"/>
          <w:color w:val="auto"/>
          <w:highlight w:val="none"/>
          <w:lang w:val="en-US" w:eastAsia="zh-CN"/>
        </w:rPr>
        <w:t>应</w:t>
      </w:r>
      <w:r>
        <w:rPr>
          <w:rFonts w:hint="eastAsia" w:ascii="Times New Roman" w:hAnsi="Times New Roman"/>
          <w:color w:val="auto"/>
          <w:highlight w:val="none"/>
        </w:rPr>
        <w:t>与供应商</w:t>
      </w:r>
      <w:r>
        <w:rPr>
          <w:rFonts w:hint="eastAsia" w:ascii="Times New Roman" w:hAnsi="Times New Roman"/>
          <w:color w:val="auto"/>
          <w:highlight w:val="none"/>
          <w:lang w:val="en-US" w:eastAsia="zh-CN"/>
        </w:rPr>
        <w:t>的单位</w:t>
      </w:r>
      <w:r>
        <w:rPr>
          <w:rFonts w:hint="eastAsia" w:ascii="Times New Roman" w:hAnsi="Times New Roman"/>
          <w:color w:val="auto"/>
          <w:highlight w:val="none"/>
        </w:rPr>
        <w:t>名称</w:t>
      </w:r>
      <w:r>
        <w:rPr>
          <w:rFonts w:hint="eastAsia" w:ascii="Times New Roman" w:hAnsi="Times New Roman"/>
          <w:color w:val="auto"/>
          <w:highlight w:val="none"/>
          <w:lang w:val="en-US" w:eastAsia="zh-CN"/>
        </w:rPr>
        <w:t>一致</w:t>
      </w:r>
      <w:r>
        <w:rPr>
          <w:rFonts w:hint="eastAsia" w:ascii="Times New Roman" w:hAnsi="Times New Roman"/>
          <w:color w:val="auto"/>
          <w:highlight w:val="none"/>
          <w:lang w:eastAsia="zh-CN"/>
        </w:rPr>
        <w:t>。</w:t>
      </w:r>
    </w:p>
    <w:p>
      <w:pPr>
        <w:pStyle w:val="2"/>
        <w:rPr>
          <w:rFonts w:hint="eastAsia"/>
          <w:lang w:val="en-US" w:eastAsia="zh-CN"/>
        </w:rPr>
      </w:pPr>
    </w:p>
    <w:p>
      <w:pPr>
        <w:pStyle w:val="6"/>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7"/>
      <w:bookmarkEnd w:id="38"/>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本次采购公告在</w:t>
      </w:r>
      <w:r>
        <w:rPr>
          <w:rFonts w:ascii="Times New Roman" w:hAnsi="Times New Roman" w:cs="Times New Roman"/>
          <w:szCs w:val="22"/>
          <w:highlight w:val="none"/>
        </w:rPr>
        <w:fldChar w:fldCharType="begin"/>
      </w:r>
      <w:r>
        <w:rPr>
          <w:rFonts w:ascii="Times New Roman" w:hAnsi="Times New Roman" w:cs="Times New Roman"/>
          <w:szCs w:val="22"/>
          <w:highlight w:val="none"/>
        </w:rPr>
        <w:instrText xml:space="preserve"> HYPERLINK "www.ahjkjt.com）、安徽交控招标采购平台（https://zcpt.ahjkjt.com）、安徽省高路建设有限公司网站（https://www.ahglgs.com）上发布" </w:instrText>
      </w:r>
      <w:r>
        <w:rPr>
          <w:rFonts w:ascii="Times New Roman" w:hAnsi="Times New Roman" w:cs="Times New Roman"/>
          <w:szCs w:val="22"/>
          <w:highlight w:val="none"/>
        </w:rPr>
        <w:fldChar w:fldCharType="separate"/>
      </w:r>
      <w:r>
        <w:rPr>
          <w:rFonts w:hint="eastAsia" w:ascii="Times New Roman" w:hAnsi="Times New Roman" w:cs="Times New Roman"/>
          <w:szCs w:val="22"/>
          <w:highlight w:val="none"/>
        </w:rPr>
        <w:t>安徽省</w:t>
      </w:r>
      <w:r>
        <w:rPr>
          <w:rFonts w:hint="eastAsia" w:ascii="Times New Roman" w:hAnsi="Times New Roman" w:cs="Times New Roman"/>
          <w:szCs w:val="22"/>
          <w:highlight w:val="none"/>
          <w:lang w:eastAsia="zh-CN"/>
        </w:rPr>
        <w:t>交运集团</w:t>
      </w:r>
      <w:r>
        <w:rPr>
          <w:rFonts w:hint="eastAsia" w:ascii="Times New Roman" w:hAnsi="Times New Roman" w:cs="Times New Roman"/>
          <w:szCs w:val="22"/>
          <w:highlight w:val="none"/>
        </w:rPr>
        <w:t>有限公司网站（http://www.ahjyjt.com.cn）</w:t>
      </w:r>
      <w:r>
        <w:rPr>
          <w:rFonts w:ascii="Times New Roman" w:hAnsi="Times New Roman" w:cs="Times New Roman"/>
          <w:szCs w:val="22"/>
          <w:highlight w:val="none"/>
        </w:rPr>
        <w:t>上发布</w:t>
      </w:r>
      <w:r>
        <w:rPr>
          <w:rFonts w:ascii="Times New Roman" w:hAnsi="Times New Roman" w:cs="Times New Roman"/>
          <w:szCs w:val="22"/>
          <w:highlight w:val="none"/>
        </w:rPr>
        <w:fldChar w:fldCharType="end"/>
      </w:r>
      <w:r>
        <w:rPr>
          <w:rFonts w:ascii="Times New Roman" w:hAnsi="Times New Roman" w:cs="Times New Roman"/>
          <w:szCs w:val="22"/>
          <w:highlight w:val="none"/>
        </w:rPr>
        <w:t>。</w:t>
      </w:r>
    </w:p>
    <w:p>
      <w:pPr>
        <w:pStyle w:val="6"/>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9" w:name="_Toc14943_WPSOffice_Level2"/>
      <w:bookmarkStart w:id="40" w:name="_Toc20572_WPSOffice_Level2"/>
      <w:bookmarkStart w:id="41" w:name="_Toc8501"/>
      <w:bookmarkStart w:id="42" w:name="_Toc26829"/>
      <w:bookmarkStart w:id="43" w:name="_Toc525632592"/>
      <w:bookmarkStart w:id="44" w:name="_Toc321_WPSOffice_Level2"/>
      <w:bookmarkStart w:id="45" w:name="_Toc28571_WPSOffice_Level2"/>
      <w:r>
        <w:rPr>
          <w:rFonts w:hint="default" w:ascii="Times New Roman" w:hAnsi="Times New Roman" w:eastAsia="黑体" w:cs="Times New Roman"/>
          <w:bCs w:val="0"/>
          <w:color w:val="auto"/>
          <w:sz w:val="22"/>
          <w:szCs w:val="15"/>
          <w:highlight w:val="none"/>
        </w:rPr>
        <w:t>采购人联系方式</w:t>
      </w:r>
      <w:bookmarkEnd w:id="39"/>
      <w:bookmarkEnd w:id="40"/>
      <w:bookmarkEnd w:id="41"/>
      <w:bookmarkEnd w:id="42"/>
      <w:bookmarkEnd w:id="43"/>
      <w:bookmarkEnd w:id="44"/>
      <w:bookmarkEnd w:id="45"/>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szCs w:val="22"/>
          <w:u w:val="single"/>
        </w:rPr>
        <w:t>安徽省</w:t>
      </w:r>
      <w:r>
        <w:rPr>
          <w:rFonts w:hint="eastAsia" w:ascii="Times New Roman" w:hAnsi="Times New Roman" w:cs="Times New Roman"/>
          <w:szCs w:val="22"/>
          <w:u w:val="single"/>
          <w:lang w:eastAsia="zh-CN"/>
        </w:rPr>
        <w:t>交运集团</w:t>
      </w:r>
      <w:r>
        <w:rPr>
          <w:rFonts w:hint="eastAsia" w:ascii="Times New Roman" w:hAnsi="Times New Roman" w:cs="Times New Roman"/>
          <w:szCs w:val="22"/>
          <w:u w:val="single"/>
        </w:rPr>
        <w:t>有限公司</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szCs w:val="22"/>
          <w:u w:val="single"/>
        </w:rPr>
        <w:t>安徽省合肥市</w:t>
      </w:r>
      <w:r>
        <w:rPr>
          <w:rFonts w:hint="eastAsia" w:ascii="Times New Roman" w:hAnsi="Times New Roman" w:cs="Times New Roman"/>
          <w:szCs w:val="22"/>
          <w:u w:val="single"/>
          <w:lang w:eastAsia="zh-CN"/>
        </w:rPr>
        <w:t>瑶海区胜利路35号</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程工</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szCs w:val="22"/>
          <w:u w:val="single"/>
        </w:rPr>
        <w:t>0551-</w:t>
      </w:r>
      <w:r>
        <w:rPr>
          <w:rFonts w:hint="eastAsia" w:ascii="Times New Roman" w:hAnsi="Times New Roman" w:cs="Times New Roman"/>
          <w:szCs w:val="22"/>
          <w:u w:val="single"/>
          <w:lang w:val="en-US" w:eastAsia="zh-CN"/>
        </w:rPr>
        <w:t>64299235</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lang w:val="en-US"/>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609691905@qq.com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27"/>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pPr>
        <w:pStyle w:val="27"/>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lang w:val="en-US" w:eastAsia="zh-CN"/>
        </w:rPr>
        <w:t>_</w:t>
      </w:r>
      <w:r>
        <w:rPr>
          <w:rFonts w:hint="default" w:ascii="Times New Roman" w:hAnsi="Times New Roman" w:cs="Times New Roman"/>
          <w:color w:val="auto"/>
          <w:sz w:val="21"/>
          <w:szCs w:val="22"/>
          <w:highlight w:val="none"/>
        </w:rPr>
        <w:t>年</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1</w:t>
      </w:r>
      <w:r>
        <w:rPr>
          <w:rFonts w:hint="default" w:ascii="Times New Roman" w:hAnsi="Times New Roman" w:cs="Times New Roman"/>
          <w:color w:val="auto"/>
          <w:sz w:val="21"/>
          <w:szCs w:val="22"/>
          <w:highlight w:val="none"/>
          <w:lang w:val="en-US" w:eastAsia="zh-CN"/>
        </w:rPr>
        <w:t>_</w:t>
      </w:r>
      <w:r>
        <w:rPr>
          <w:rFonts w:hint="default" w:ascii="Times New Roman" w:hAnsi="Times New Roman" w:cs="Times New Roman"/>
          <w:color w:val="auto"/>
          <w:sz w:val="21"/>
          <w:szCs w:val="22"/>
          <w:highlight w:val="none"/>
        </w:rPr>
        <w:t>月</w:t>
      </w:r>
      <w:r>
        <w:rPr>
          <w:rFonts w:hint="default" w:ascii="Times New Roman" w:hAnsi="Times New Roman" w:cs="Times New Roman"/>
          <w:color w:val="auto"/>
          <w:sz w:val="21"/>
          <w:szCs w:val="22"/>
          <w:highlight w:val="none"/>
          <w:lang w:val="en-US" w:eastAsia="zh-CN"/>
        </w:rPr>
        <w:t>_</w:t>
      </w:r>
      <w:r>
        <w:rPr>
          <w:rFonts w:hint="default" w:ascii="Times New Roman" w:hAnsi="Times New Roman" w:cs="Times New Roman"/>
          <w:color w:val="auto"/>
          <w:sz w:val="21"/>
          <w:szCs w:val="22"/>
          <w:highlight w:val="none"/>
          <w:lang w:val="en-CA" w:eastAsia="zh-CN"/>
        </w:rPr>
        <w:t>4</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rPr>
          <w:rFonts w:hint="default" w:ascii="Times New Roman" w:hAnsi="Times New Roman" w:cs="Times New Roman"/>
          <w:color w:val="auto"/>
          <w:sz w:val="24"/>
          <w:szCs w:val="28"/>
          <w:highlight w:val="none"/>
          <w:lang w:val="en-US" w:eastAsia="zh-CN"/>
        </w:rPr>
      </w:pPr>
    </w:p>
    <w:p>
      <w:pPr>
        <w:pStyle w:val="5"/>
        <w:numPr>
          <w:ilvl w:val="0"/>
          <w:numId w:val="4"/>
        </w:numPr>
        <w:spacing w:before="240" w:after="240"/>
        <w:ind w:left="0" w:leftChars="0" w:firstLine="0" w:firstLineChars="0"/>
        <w:rPr>
          <w:rFonts w:hint="default" w:ascii="Times New Roman" w:hAnsi="Times New Roman" w:eastAsia="宋体" w:cs="Times New Roman"/>
          <w:color w:val="auto"/>
          <w:highlight w:val="none"/>
        </w:rPr>
      </w:pPr>
      <w:bookmarkStart w:id="46" w:name="_Toc13339_WPSOffice_Level1"/>
      <w:r>
        <w:rPr>
          <w:rFonts w:hint="default" w:ascii="Times New Roman" w:hAnsi="Times New Roman" w:eastAsia="宋体" w:cs="Times New Roman"/>
          <w:color w:val="auto"/>
          <w:highlight w:val="none"/>
          <w:lang w:val="en-US" w:eastAsia="zh-CN"/>
        </w:rPr>
        <w:t>供应商须知</w:t>
      </w:r>
      <w:bookmarkEnd w:id="46"/>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47" w:name="_Toc9067720"/>
      <w:bookmarkStart w:id="48" w:name="_Toc26656938"/>
      <w:bookmarkStart w:id="49" w:name="_Toc14201207"/>
      <w:r>
        <w:rPr>
          <w:rFonts w:hint="default" w:ascii="Times New Roman" w:hAnsi="Times New Roman" w:eastAsia="黑体" w:cs="Times New Roman"/>
          <w:bCs/>
          <w:color w:val="auto"/>
          <w:sz w:val="24"/>
          <w:szCs w:val="32"/>
          <w:highlight w:val="none"/>
        </w:rPr>
        <w:t>1. 总则</w:t>
      </w:r>
      <w:bookmarkEnd w:id="47"/>
      <w:bookmarkEnd w:id="48"/>
      <w:bookmarkEnd w:id="49"/>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bookmarkStart w:id="50" w:name="_Toc14201208"/>
      <w:bookmarkStart w:id="51" w:name="_Toc26656939"/>
      <w:r>
        <w:rPr>
          <w:rFonts w:hint="default" w:ascii="Times New Roman" w:hAnsi="Times New Roman" w:eastAsia="黑体" w:cs="Times New Roman"/>
          <w:bCs/>
          <w:color w:val="auto"/>
          <w:sz w:val="24"/>
          <w:szCs w:val="32"/>
          <w:highlight w:val="none"/>
        </w:rPr>
        <w:t xml:space="preserve">1.1 </w:t>
      </w:r>
      <w:bookmarkEnd w:id="50"/>
      <w:bookmarkEnd w:id="51"/>
      <w:bookmarkStart w:id="52" w:name="_Toc26656941"/>
      <w:bookmarkStart w:id="53" w:name="_Toc14201210"/>
      <w:r>
        <w:rPr>
          <w:rFonts w:hint="default" w:ascii="Times New Roman" w:hAnsi="Times New Roman" w:eastAsia="黑体" w:cs="Times New Roman"/>
          <w:bCs/>
          <w:color w:val="auto"/>
          <w:sz w:val="24"/>
          <w:szCs w:val="32"/>
          <w:highlight w:val="none"/>
        </w:rPr>
        <w:t>质量要求和安全</w:t>
      </w:r>
      <w:bookmarkEnd w:id="52"/>
      <w:bookmarkEnd w:id="53"/>
      <w:r>
        <w:rPr>
          <w:rFonts w:hint="eastAsia" w:ascii="Times New Roman" w:hAnsi="Times New Roman" w:eastAsia="黑体" w:cs="Times New Roman"/>
          <w:bCs/>
          <w:color w:val="auto"/>
          <w:sz w:val="24"/>
          <w:szCs w:val="32"/>
          <w:highlight w:val="none"/>
          <w:lang w:val="en-US" w:eastAsia="zh-CN"/>
        </w:rPr>
        <w:t>目标</w:t>
      </w:r>
    </w:p>
    <w:p>
      <w:pPr>
        <w:spacing w:line="440" w:lineRule="exact"/>
        <w:ind w:firstLine="420"/>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szCs w:val="21"/>
          <w:highlight w:val="none"/>
          <w:u w:val="single"/>
          <w:lang w:eastAsia="zh-CN"/>
        </w:rPr>
        <w:t>符</w:t>
      </w:r>
      <w:r>
        <w:rPr>
          <w:rFonts w:hint="default" w:ascii="Times New Roman" w:hAnsi="Times New Roman" w:cs="Times New Roman"/>
          <w:color w:val="auto"/>
          <w:szCs w:val="21"/>
          <w:highlight w:val="none"/>
          <w:u w:val="single"/>
          <w:lang w:val="en-US" w:eastAsia="zh-CN"/>
        </w:rPr>
        <w:t>合</w:t>
      </w:r>
      <w:r>
        <w:rPr>
          <w:rFonts w:hint="eastAsia" w:ascii="Times New Roman" w:hAnsi="Times New Roman" w:cs="Times New Roman"/>
          <w:color w:val="auto"/>
          <w:szCs w:val="21"/>
          <w:highlight w:val="none"/>
          <w:u w:val="single"/>
          <w:lang w:val="en-US" w:eastAsia="zh-CN"/>
        </w:rPr>
        <w:t>资产评估相关要求，满足采购人采购需要。</w:t>
      </w:r>
    </w:p>
    <w:p>
      <w:pPr>
        <w:spacing w:line="440" w:lineRule="exact"/>
        <w:ind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的安全目标：</w:t>
      </w:r>
      <w:r>
        <w:rPr>
          <w:rFonts w:hint="eastAsia" w:ascii="Times New Roman" w:hAnsi="Times New Roman"/>
          <w:szCs w:val="21"/>
          <w:u w:val="single"/>
        </w:rPr>
        <w:t>确保实施过程中无安全</w:t>
      </w:r>
      <w:r>
        <w:rPr>
          <w:rFonts w:hint="eastAsia" w:ascii="Times New Roman" w:hAnsi="Times New Roman"/>
          <w:szCs w:val="21"/>
          <w:u w:val="single"/>
          <w:lang w:eastAsia="zh-CN"/>
        </w:rPr>
        <w:t>责任</w:t>
      </w:r>
      <w:r>
        <w:rPr>
          <w:rFonts w:hint="eastAsia" w:ascii="Times New Roman" w:hAnsi="Times New Roman"/>
          <w:szCs w:val="21"/>
          <w:u w:val="single"/>
        </w:rPr>
        <w:t>事故发生</w:t>
      </w:r>
      <w:r>
        <w:rPr>
          <w:rFonts w:hint="eastAsia" w:ascii="Times New Roman" w:hAnsi="Times New Roman" w:cs="Times New Roman"/>
          <w:color w:val="auto"/>
          <w:szCs w:val="21"/>
          <w:highlight w:val="none"/>
          <w:lang w:val="en-US"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42"/>
      <w:bookmarkStart w:id="55" w:name="_Toc14201211"/>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4"/>
      <w:bookmarkEnd w:id="55"/>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服务</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___</w:t>
      </w:r>
      <w:r>
        <w:rPr>
          <w:rFonts w:hint="eastAsia" w:eastAsia="仿宋_GB2312"/>
          <w:color w:val="auto"/>
          <w:sz w:val="28"/>
          <w:szCs w:val="28"/>
          <w:highlight w:val="none"/>
        </w:rPr>
        <w:t>/</w:t>
      </w:r>
      <w:r>
        <w:rPr>
          <w:rFonts w:hint="eastAsia" w:ascii="Times New Roman" w:hAnsi="Times New Roman" w:cs="Times New Roman"/>
          <w:color w:val="auto"/>
          <w:szCs w:val="21"/>
          <w:highlight w:val="none"/>
          <w:u w:val="single"/>
          <w:lang w:val="en-US" w:eastAsia="zh-CN"/>
        </w:rPr>
        <w:t>_</w:t>
      </w:r>
      <w:r>
        <w:rPr>
          <w:rFonts w:hint="eastAsia" w:ascii="Times New Roman" w:hAnsi="Times New Roman" w:cs="Times New Roman"/>
          <w:color w:val="auto"/>
          <w:szCs w:val="21"/>
          <w:highlight w:val="none"/>
          <w:lang w:val="en-US" w:eastAsia="zh-CN"/>
        </w:rPr>
        <w:t>__</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43"/>
      <w:bookmarkStart w:id="57" w:name="_Toc1420121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44"/>
      <w:bookmarkStart w:id="59" w:name="_Toc14201213"/>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14201215"/>
      <w:bookmarkStart w:id="61" w:name="_Toc26656946"/>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2" w:name="_Toc26656947"/>
      <w:bookmarkStart w:id="63" w:name="_Toc14201216"/>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62"/>
      <w:bookmarkEnd w:id="6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4" w:name="_Toc26656949"/>
      <w:bookmarkStart w:id="65" w:name="_Toc14201218"/>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4"/>
      <w:bookmarkEnd w:id="65"/>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不允许分包。</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bookmarkStart w:id="66" w:name="_Toc26656950"/>
      <w:bookmarkStart w:id="67" w:name="_Toc14201219"/>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66"/>
      <w:bookmarkEnd w:id="67"/>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68" w:name="_Toc9067721"/>
      <w:bookmarkStart w:id="69" w:name="_Toc26656951"/>
      <w:bookmarkStart w:id="70" w:name="_Toc14201220"/>
      <w:r>
        <w:rPr>
          <w:rFonts w:hint="default" w:ascii="Times New Roman" w:hAnsi="Times New Roman" w:eastAsia="黑体" w:cs="Times New Roman"/>
          <w:bCs/>
          <w:color w:val="auto"/>
          <w:sz w:val="24"/>
          <w:szCs w:val="32"/>
          <w:highlight w:val="none"/>
        </w:rPr>
        <w:t xml:space="preserve">2. </w:t>
      </w:r>
      <w:bookmarkEnd w:id="68"/>
      <w:bookmarkEnd w:id="69"/>
      <w:bookmarkEnd w:id="70"/>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1" w:name="_Toc14201221"/>
      <w:bookmarkStart w:id="72" w:name="_Toc26656952"/>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71"/>
      <w:bookmarkEnd w:id="7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3" w:name="_Toc14201222"/>
      <w:bookmarkStart w:id="74" w:name="_Toc26656953"/>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3"/>
      <w:bookmarkEnd w:id="74"/>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通过书面材料</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5" w:name="_Toc9067722"/>
      <w:bookmarkStart w:id="76" w:name="_Toc14201225"/>
      <w:bookmarkStart w:id="77" w:name="_Toc26656956"/>
      <w:r>
        <w:rPr>
          <w:rFonts w:hint="default" w:ascii="Times New Roman" w:hAnsi="Times New Roman" w:eastAsia="黑体" w:cs="Times New Roman"/>
          <w:bCs/>
          <w:color w:val="auto"/>
          <w:sz w:val="24"/>
          <w:szCs w:val="32"/>
          <w:highlight w:val="none"/>
        </w:rPr>
        <w:t xml:space="preserve">3. </w:t>
      </w:r>
      <w:bookmarkEnd w:id="75"/>
      <w:bookmarkEnd w:id="76"/>
      <w:bookmarkEnd w:id="77"/>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8" w:name="_Toc14201226"/>
      <w:bookmarkStart w:id="79" w:name="_Toc26656957"/>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78"/>
      <w:bookmarkEnd w:id="7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拟委任的主要人员</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0" w:name="_Toc26656958"/>
      <w:bookmarkStart w:id="81" w:name="_Toc14201227"/>
      <w:r>
        <w:rPr>
          <w:rFonts w:hint="default" w:ascii="Times New Roman" w:hAnsi="Times New Roman" w:eastAsia="黑体" w:cs="Times New Roman"/>
          <w:bCs/>
          <w:color w:val="auto"/>
          <w:sz w:val="24"/>
          <w:szCs w:val="32"/>
          <w:highlight w:val="none"/>
        </w:rPr>
        <w:t>3.2 报价</w:t>
      </w:r>
      <w:bookmarkEnd w:id="80"/>
      <w:bookmarkEnd w:id="81"/>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供应商应提供增值税（专用/普通）发票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总价报价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Cs w:val="21"/>
          <w:highlight w:val="none"/>
          <w:lang w:val="en-US" w:eastAsia="zh-CN"/>
        </w:rPr>
        <w:t>__</w:t>
      </w:r>
      <w:r>
        <w:rPr>
          <w:rFonts w:hint="eastAsia" w:ascii="宋体" w:hAnsi="宋体" w:eastAsia="宋体"/>
          <w:szCs w:val="21"/>
          <w:highlight w:val="none"/>
          <w:u w:val="single"/>
        </w:rPr>
        <w:t>报价高于限价的，按废标处理</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82" w:name="_Toc14201228"/>
      <w:bookmarkStart w:id="83" w:name="_Toc26656959"/>
      <w:r>
        <w:rPr>
          <w:rFonts w:hint="default" w:ascii="Times New Roman" w:hAnsi="Times New Roman" w:eastAsia="黑体" w:cs="Times New Roman"/>
          <w:bCs/>
          <w:color w:val="auto"/>
          <w:sz w:val="24"/>
          <w:szCs w:val="32"/>
          <w:highlight w:val="none"/>
        </w:rPr>
        <w:t>3.3</w:t>
      </w:r>
      <w:bookmarkEnd w:id="82"/>
      <w:bookmarkEnd w:id="83"/>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line="415" w:lineRule="auto"/>
        <w:ind w:firstLine="0" w:firstLineChars="0"/>
        <w:outlineLvl w:val="2"/>
        <w:rPr>
          <w:rFonts w:hint="default" w:ascii="Times New Roman" w:hAnsi="Times New Roman" w:eastAsia="黑体" w:cs="Times New Roman"/>
          <w:bCs/>
          <w:color w:val="auto"/>
          <w:sz w:val="24"/>
          <w:szCs w:val="32"/>
          <w:highlight w:val="none"/>
          <w:lang w:eastAsia="zh-CN"/>
        </w:rPr>
      </w:pPr>
      <w:bookmarkStart w:id="84" w:name="_Toc14201229"/>
      <w:bookmarkStart w:id="85" w:name="_Toc26656960"/>
      <w:r>
        <w:rPr>
          <w:rFonts w:hint="default" w:ascii="Times New Roman" w:hAnsi="Times New Roman" w:eastAsia="黑体" w:cs="Times New Roman"/>
          <w:bCs/>
          <w:color w:val="auto"/>
          <w:sz w:val="24"/>
          <w:szCs w:val="32"/>
          <w:highlight w:val="none"/>
        </w:rPr>
        <w:t>3.4</w:t>
      </w:r>
      <w:bookmarkEnd w:id="84"/>
      <w:bookmarkEnd w:id="85"/>
      <w:r>
        <w:rPr>
          <w:rFonts w:hint="default" w:ascii="Times New Roman" w:hAnsi="Times New Roman" w:eastAsia="黑体" w:cs="Times New Roman"/>
          <w:bCs/>
          <w:color w:val="auto"/>
          <w:sz w:val="24"/>
          <w:szCs w:val="32"/>
          <w:highlight w:val="none"/>
          <w:lang w:eastAsia="zh-CN"/>
        </w:rPr>
        <w:t>响应保证金</w:t>
      </w:r>
    </w:p>
    <w:p>
      <w:pPr>
        <w:spacing w:line="440" w:lineRule="exact"/>
        <w:ind w:firstLine="420"/>
        <w:rPr>
          <w:rFonts w:hint="default" w:ascii="Times New Roman" w:hAnsi="Times New Roman"/>
          <w:color w:val="auto"/>
          <w:highlight w:val="none"/>
        </w:rPr>
      </w:pPr>
      <w:r>
        <w:rPr>
          <w:rFonts w:hint="default" w:ascii="Times New Roman" w:hAnsi="Times New Roman" w:cs="Times New Roman"/>
          <w:color w:val="auto"/>
          <w:highlight w:val="none"/>
        </w:rPr>
        <w:t xml:space="preserve">3.4.1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的同时，应按</w:t>
      </w:r>
      <w:r>
        <w:rPr>
          <w:rFonts w:hint="eastAsia" w:ascii="Times New Roman" w:hAnsi="Times New Roman" w:cs="Times New Roman"/>
          <w:color w:val="auto"/>
          <w:highlight w:val="none"/>
          <w:lang w:val="en-US" w:eastAsia="zh-CN"/>
        </w:rPr>
        <w:t>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第7条的要求</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，并作为其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无论采取何种形式的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有效期均应与</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一致。</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不按本章第3.4.1项要求提交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将否决其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3.4.3 </w:t>
      </w:r>
      <w:r>
        <w:rPr>
          <w:rFonts w:hint="default" w:ascii="Times New Roman" w:hAnsi="Times New Roman" w:cs="Times New Roman"/>
          <w:color w:val="auto"/>
          <w:highlight w:val="none"/>
          <w:lang w:val="en-US" w:eastAsia="zh-CN"/>
        </w:rPr>
        <w:t>采购人在</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val="en-US" w:eastAsia="zh-CN"/>
        </w:rPr>
        <w:t>成交人</w:t>
      </w:r>
      <w:r>
        <w:rPr>
          <w:rFonts w:hint="default" w:ascii="Times New Roman" w:hAnsi="Times New Roman" w:cs="Times New Roman"/>
          <w:color w:val="auto"/>
          <w:highlight w:val="none"/>
        </w:rPr>
        <w:t>签订合同后5日内</w:t>
      </w:r>
      <w:r>
        <w:rPr>
          <w:rFonts w:hint="default" w:ascii="Times New Roman" w:hAnsi="Times New Roman" w:cs="Times New Roman"/>
          <w:color w:val="auto"/>
          <w:highlight w:val="none"/>
          <w:lang w:val="en-US" w:eastAsia="zh-CN"/>
        </w:rPr>
        <w:t>办理</w:t>
      </w:r>
      <w:r>
        <w:rPr>
          <w:rFonts w:hint="default" w:ascii="Times New Roman" w:hAnsi="Times New Roman" w:cs="Times New Roman"/>
          <w:color w:val="auto"/>
          <w:highlight w:val="none"/>
        </w:rPr>
        <w:t>退还</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lang w:val="en-US" w:eastAsia="zh-CN"/>
        </w:rPr>
        <w:t>手续</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3.4.4 有下列情形之一的，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将不予退还：</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szCs w:val="21"/>
          <w:highlight w:val="none"/>
          <w:lang w:val="en-US" w:eastAsia="zh-CN"/>
        </w:rPr>
        <w:t>__________</w:t>
      </w:r>
      <w:r>
        <w:rPr>
          <w:rFonts w:hint="eastAsia" w:eastAsia="仿宋_GB2312"/>
          <w:color w:val="auto"/>
          <w:sz w:val="28"/>
          <w:szCs w:val="28"/>
          <w:highlight w:val="none"/>
        </w:rPr>
        <w:t>/</w:t>
      </w:r>
      <w:r>
        <w:rPr>
          <w:rFonts w:hint="eastAsia" w:ascii="Times New Roman" w:hAnsi="Times New Roman" w:cs="Times New Roman"/>
          <w:color w:val="auto"/>
          <w:szCs w:val="21"/>
          <w:highlight w:val="none"/>
          <w:lang w:val="en-US" w:eastAsia="zh-CN"/>
        </w:rPr>
        <w:t>_________________（</w:t>
      </w:r>
      <w:r>
        <w:rPr>
          <w:rFonts w:hint="default" w:ascii="Times New Roman" w:hAnsi="Times New Roman" w:cs="Times New Roman"/>
          <w:color w:val="auto"/>
          <w:szCs w:val="21"/>
          <w:highlight w:val="none"/>
        </w:rPr>
        <w:t>其他情形</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6" w:name="_Toc26656961"/>
      <w:bookmarkStart w:id="87" w:name="_Toc14201230"/>
      <w:r>
        <w:rPr>
          <w:rFonts w:hint="default" w:ascii="Times New Roman" w:hAnsi="Times New Roman" w:eastAsia="黑体" w:cs="Times New Roman"/>
          <w:bCs/>
          <w:color w:val="auto"/>
          <w:sz w:val="24"/>
          <w:szCs w:val="32"/>
          <w:highlight w:val="none"/>
        </w:rPr>
        <w:t>3.5资格审查资料</w:t>
      </w:r>
      <w:bookmarkEnd w:id="86"/>
      <w:bookmarkEnd w:id="87"/>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8" w:name="_Toc26656963"/>
      <w:bookmarkStart w:id="89" w:name="_Toc14201232"/>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88"/>
      <w:bookmarkEnd w:id="8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、质量要求、安全目标、技术标准和要求、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u w:val="single"/>
          <w:lang w:val="en-US" w:eastAsia="zh-CN"/>
        </w:rPr>
        <w:t>1</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90" w:name="_Toc14201233"/>
      <w:bookmarkStart w:id="91" w:name="_Toc9067723"/>
      <w:bookmarkStart w:id="92" w:name="_Toc26656964"/>
      <w:r>
        <w:rPr>
          <w:rFonts w:hint="default" w:ascii="Times New Roman" w:hAnsi="Times New Roman" w:eastAsia="黑体" w:cs="Times New Roman"/>
          <w:bCs/>
          <w:color w:val="auto"/>
          <w:sz w:val="24"/>
          <w:szCs w:val="32"/>
          <w:highlight w:val="none"/>
        </w:rPr>
        <w:t xml:space="preserve">4. </w:t>
      </w:r>
      <w:bookmarkEnd w:id="90"/>
      <w:bookmarkEnd w:id="91"/>
      <w:bookmarkEnd w:id="92"/>
      <w:r>
        <w:rPr>
          <w:rFonts w:hint="default" w:ascii="Times New Roman" w:hAnsi="Times New Roman" w:eastAsia="黑体" w:cs="Times New Roman"/>
          <w:bCs/>
          <w:color w:val="auto"/>
          <w:sz w:val="24"/>
          <w:szCs w:val="32"/>
          <w:highlight w:val="none"/>
        </w:rPr>
        <w:t>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3" w:name="_Toc26656965"/>
      <w:bookmarkStart w:id="94" w:name="_Toc14201234"/>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3"/>
      <w:bookmarkEnd w:id="94"/>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(项目</w:t>
      </w:r>
      <w:r>
        <w:rPr>
          <w:rFonts w:hint="eastAsia" w:ascii="Times New Roman" w:hAnsi="Times New Roman" w:eastAsia="黑体" w:cs="黑体"/>
          <w:bCs w:val="0"/>
          <w:snapToGrid/>
          <w:color w:val="auto"/>
          <w:kern w:val="2"/>
          <w:szCs w:val="24"/>
          <w:highlight w:val="none"/>
        </w:rPr>
        <w:t>名称</w:t>
      </w:r>
      <w:r>
        <w:rPr>
          <w:rFonts w:hint="eastAsia" w:ascii="Times New Roman" w:hAnsi="Times New Roman" w:eastAsia="黑体" w:cs="黑体"/>
          <w:bCs/>
          <w:snapToGrid w:val="0"/>
          <w:color w:val="auto"/>
          <w:kern w:val="0"/>
          <w:szCs w:val="21"/>
          <w:highlight w:val="none"/>
        </w:rPr>
        <w:t>)</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5" w:name="_Toc14201235"/>
      <w:bookmarkStart w:id="96" w:name="_Toc26656966"/>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5"/>
      <w:bookmarkEnd w:id="9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97" w:name="_Toc14201237"/>
      <w:bookmarkStart w:id="98" w:name="_Toc26656968"/>
      <w:bookmarkStart w:id="99" w:name="_Toc9067724"/>
      <w:r>
        <w:rPr>
          <w:rFonts w:hint="default" w:ascii="Times New Roman" w:hAnsi="Times New Roman" w:eastAsia="黑体" w:cs="Times New Roman"/>
          <w:bCs/>
          <w:color w:val="auto"/>
          <w:sz w:val="24"/>
          <w:szCs w:val="32"/>
          <w:highlight w:val="none"/>
        </w:rPr>
        <w:t xml:space="preserve">5. </w:t>
      </w:r>
      <w:bookmarkEnd w:id="97"/>
      <w:bookmarkEnd w:id="98"/>
      <w:bookmarkEnd w:id="99"/>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0" w:name="_Toc14201238"/>
      <w:bookmarkStart w:id="101" w:name="_Toc26656969"/>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100"/>
      <w:bookmarkEnd w:id="10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2" w:name="_Toc14201239"/>
      <w:bookmarkStart w:id="103" w:name="_Toc26656970"/>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102"/>
      <w:bookmarkEnd w:id="10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质量目标、安全目标、</w:t>
      </w:r>
      <w:r>
        <w:rPr>
          <w:rFonts w:hint="eastAsia" w:ascii="Times New Roman" w:hAnsi="Times New Roman" w:cs="Times New Roman"/>
          <w:bCs/>
          <w:color w:val="auto"/>
          <w:highlight w:val="none"/>
          <w:lang w:val="en-US" w:eastAsia="zh-CN"/>
        </w:rPr>
        <w:t>服务</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4" w:name="_Toc9067725"/>
      <w:bookmarkStart w:id="105" w:name="_Toc14201241"/>
      <w:bookmarkStart w:id="106" w:name="_Toc26656972"/>
      <w:r>
        <w:rPr>
          <w:rFonts w:hint="default" w:ascii="Times New Roman" w:hAnsi="Times New Roman" w:eastAsia="黑体" w:cs="Times New Roman"/>
          <w:bCs/>
          <w:color w:val="auto"/>
          <w:sz w:val="24"/>
          <w:szCs w:val="32"/>
          <w:highlight w:val="none"/>
        </w:rPr>
        <w:t>6. 评</w:t>
      </w:r>
      <w:bookmarkEnd w:id="104"/>
      <w:bookmarkEnd w:id="105"/>
      <w:bookmarkEnd w:id="10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7" w:name="_Toc14201242"/>
      <w:bookmarkStart w:id="108" w:name="_Toc26656973"/>
      <w:r>
        <w:rPr>
          <w:rFonts w:hint="default" w:ascii="Times New Roman" w:hAnsi="Times New Roman" w:eastAsia="黑体" w:cs="Times New Roman"/>
          <w:bCs/>
          <w:color w:val="auto"/>
          <w:sz w:val="24"/>
          <w:szCs w:val="32"/>
          <w:highlight w:val="none"/>
        </w:rPr>
        <w:t>6.1</w:t>
      </w:r>
      <w:bookmarkEnd w:id="107"/>
      <w:bookmarkEnd w:id="10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9" w:name="_Toc14201244"/>
      <w:bookmarkStart w:id="11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09"/>
      <w:bookmarkEnd w:id="11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11" w:name="_Toc14201245"/>
      <w:bookmarkStart w:id="112" w:name="_Toc26656976"/>
      <w:bookmarkStart w:id="113" w:name="_Toc9067726"/>
      <w:r>
        <w:rPr>
          <w:rFonts w:hint="default" w:ascii="Times New Roman" w:hAnsi="Times New Roman" w:eastAsia="黑体" w:cs="Times New Roman"/>
          <w:bCs/>
          <w:color w:val="auto"/>
          <w:sz w:val="24"/>
          <w:szCs w:val="32"/>
          <w:highlight w:val="none"/>
        </w:rPr>
        <w:t>7. 合同授予</w:t>
      </w:r>
      <w:bookmarkEnd w:id="111"/>
      <w:bookmarkEnd w:id="112"/>
      <w:bookmarkEnd w:id="11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4" w:name="_Toc14201246"/>
      <w:bookmarkStart w:id="11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114"/>
      <w:bookmarkEnd w:id="11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6" w:name="_Toc14201247"/>
      <w:bookmarkStart w:id="11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16"/>
      <w:bookmarkEnd w:id="11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8" w:name="_Toc14201248"/>
      <w:bookmarkStart w:id="11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118"/>
      <w:bookmarkEnd w:id="11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0" w:name="_Toc26656981"/>
      <w:bookmarkStart w:id="121" w:name="_Toc14201250"/>
      <w:r>
        <w:rPr>
          <w:rFonts w:hint="default" w:ascii="Times New Roman" w:hAnsi="Times New Roman" w:eastAsia="黑体" w:cs="Times New Roman"/>
          <w:bCs/>
          <w:color w:val="auto"/>
          <w:sz w:val="24"/>
          <w:szCs w:val="32"/>
          <w:highlight w:val="none"/>
        </w:rPr>
        <w:t>7.</w:t>
      </w:r>
      <w:bookmarkEnd w:id="120"/>
      <w:bookmarkEnd w:id="121"/>
      <w:bookmarkStart w:id="122" w:name="_Toc14201252"/>
      <w:bookmarkStart w:id="123" w:name="_Toc26656983"/>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履约保证金</w:t>
      </w:r>
      <w:bookmarkEnd w:id="122"/>
      <w:bookmarkEnd w:id="12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.1在签订合同前，</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提交履约保证金。履约保证金</w:t>
      </w:r>
      <w:r>
        <w:rPr>
          <w:rFonts w:hint="eastAsia" w:ascii="Times New Roman" w:hAnsi="Times New Roman" w:cs="Times New Roman"/>
          <w:color w:val="auto"/>
          <w:highlight w:val="none"/>
          <w:lang w:val="en-US" w:eastAsia="zh-CN"/>
        </w:rPr>
        <w:t>的金额</w:t>
      </w:r>
      <w:r>
        <w:rPr>
          <w:rFonts w:hint="default" w:ascii="Times New Roman" w:hAnsi="Times New Roman" w:cs="Times New Roman"/>
          <w:color w:val="auto"/>
          <w:highlight w:val="none"/>
        </w:rPr>
        <w:t>为</w:t>
      </w:r>
      <w:r>
        <w:rPr>
          <w:rFonts w:hint="eastAsia" w:ascii="Times New Roman" w:hAnsi="Times New Roman" w:cs="Times New Roman"/>
          <w:color w:val="auto"/>
          <w:highlight w:val="none"/>
          <w:lang w:val="en-US" w:eastAsia="zh-CN"/>
        </w:rPr>
        <w:t>__</w:t>
      </w:r>
      <w:r>
        <w:rPr>
          <w:rFonts w:hint="eastAsia" w:eastAsia="仿宋_GB2312"/>
          <w:color w:val="auto"/>
          <w:sz w:val="28"/>
          <w:szCs w:val="28"/>
          <w:highlight w:val="none"/>
        </w:rPr>
        <w:t>/</w:t>
      </w:r>
      <w:r>
        <w:rPr>
          <w:rFonts w:hint="eastAsia" w:ascii="Times New Roman" w:hAnsi="Times New Roman" w:cs="Times New Roman"/>
          <w:color w:val="auto"/>
          <w:highlight w:val="none"/>
          <w:lang w:val="en-US" w:eastAsia="zh-CN"/>
        </w:rPr>
        <w:t>__履约保证金的形式为____</w:t>
      </w:r>
      <w:r>
        <w:rPr>
          <w:rFonts w:hint="eastAsia" w:eastAsia="仿宋_GB2312"/>
          <w:color w:val="auto"/>
          <w:sz w:val="28"/>
          <w:szCs w:val="28"/>
          <w:highlight w:val="none"/>
        </w:rPr>
        <w:t>/</w:t>
      </w:r>
      <w:r>
        <w:rPr>
          <w:rFonts w:hint="eastAsia" w:ascii="Times New Roman" w:hAnsi="Times New Roman" w:cs="Times New Roman"/>
          <w:color w:val="auto"/>
          <w:highlight w:val="none"/>
          <w:lang w:val="en-US" w:eastAsia="zh-CN"/>
        </w:rPr>
        <w:t>____</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不能按本章第7.</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.1项要求提交履约保证金的，视为放弃</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还应当对超过部分予以赔偿。</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4" w:name="_Toc14201253"/>
      <w:bookmarkStart w:id="125" w:name="_Toc26656984"/>
      <w:r>
        <w:rPr>
          <w:rFonts w:hint="default" w:ascii="Times New Roman" w:hAnsi="Times New Roman" w:eastAsia="黑体" w:cs="Times New Roman"/>
          <w:bCs/>
          <w:color w:val="auto"/>
          <w:sz w:val="24"/>
          <w:szCs w:val="32"/>
          <w:highlight w:val="none"/>
        </w:rPr>
        <w:t>7.</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签订合同</w:t>
      </w:r>
      <w:bookmarkEnd w:id="124"/>
      <w:bookmarkEnd w:id="12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26" w:name="_Toc14201257"/>
      <w:bookmarkStart w:id="127" w:name="_Toc26656988"/>
      <w:bookmarkStart w:id="128" w:name="_Toc906772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26"/>
      <w:bookmarkEnd w:id="127"/>
      <w:bookmarkEnd w:id="128"/>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29" w:name="_Toc26656993"/>
      <w:bookmarkStart w:id="130"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129"/>
      <w:bookmarkEnd w:id="130"/>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监督部门</w:t>
      </w:r>
      <w:r>
        <w:rPr>
          <w:rFonts w:hint="eastAsia"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eastAsia="zh-CN"/>
        </w:rPr>
        <w:t>联系方式</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val="en-US" w:eastAsia="zh-CN"/>
        </w:rPr>
        <w:t>安徽省交运集团有限公司纪委办，0551-64299218</w:t>
      </w:r>
      <w:r>
        <w:rPr>
          <w:rFonts w:hint="eastAsia" w:ascii="Times New Roman" w:hAnsi="Times New Roman" w:cs="Times New Roman"/>
          <w:color w:val="auto"/>
          <w:highlight w:val="none"/>
          <w:lang w:val="en-US" w:eastAsia="zh-CN"/>
        </w:rPr>
        <w:t>____。</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1" w:name="_Toc26656994"/>
      <w:bookmarkStart w:id="132" w:name="_Toc9067731"/>
      <w:bookmarkStart w:id="133"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131"/>
      <w:bookmarkEnd w:id="132"/>
      <w:bookmarkEnd w:id="13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w:t>
      </w:r>
      <w:r>
        <w:rPr>
          <w:rFonts w:hint="eastAsia" w:eastAsia="仿宋_GB2312"/>
          <w:color w:val="auto"/>
          <w:sz w:val="28"/>
          <w:szCs w:val="28"/>
          <w:highlight w:val="none"/>
        </w:rPr>
        <w:t>/</w:t>
      </w:r>
      <w:bookmarkStart w:id="265" w:name="_GoBack"/>
      <w:bookmarkEnd w:id="265"/>
      <w:r>
        <w:rPr>
          <w:rFonts w:hint="eastAsia" w:ascii="Times New Roman" w:hAnsi="Times New Roman" w:cs="Times New Roman"/>
          <w:color w:val="auto"/>
          <w:highlight w:val="none"/>
          <w:lang w:val="en-US" w:eastAsia="zh-CN"/>
        </w:rPr>
        <w:t>_____________。</w:t>
      </w:r>
    </w:p>
    <w:p>
      <w:pPr>
        <w:widowControl/>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rPr>
          <w:rFonts w:hint="default" w:ascii="Times New Roman" w:hAnsi="Times New Roman" w:eastAsia="宋体" w:cs="Times New Roman"/>
          <w:color w:val="auto"/>
          <w:highlight w:val="none"/>
        </w:rPr>
      </w:pPr>
    </w:p>
    <w:p>
      <w:pPr>
        <w:pStyle w:val="5"/>
        <w:numPr>
          <w:ilvl w:val="0"/>
          <w:numId w:val="4"/>
        </w:numPr>
        <w:spacing w:before="240" w:after="240"/>
        <w:ind w:left="0" w:leftChars="0" w:firstLine="0" w:firstLineChars="0"/>
        <w:rPr>
          <w:rFonts w:hint="default" w:ascii="Times New Roman" w:hAnsi="Times New Roman" w:eastAsia="宋体" w:cs="Times New Roman"/>
          <w:color w:val="auto"/>
          <w:highlight w:val="none"/>
        </w:rPr>
      </w:pPr>
      <w:bookmarkStart w:id="134" w:name="_Toc29272_WPSOffice_Level1"/>
      <w:r>
        <w:rPr>
          <w:rFonts w:hint="default" w:ascii="Times New Roman" w:hAnsi="Times New Roman" w:eastAsia="宋体" w:cs="Times New Roman"/>
          <w:color w:val="auto"/>
          <w:highlight w:val="none"/>
          <w:lang w:val="en-US" w:eastAsia="zh-CN"/>
        </w:rPr>
        <w:t>评审办法</w:t>
      </w:r>
      <w:bookmarkEnd w:id="134"/>
    </w:p>
    <w:p>
      <w:pPr>
        <w:rPr>
          <w:rFonts w:hint="default" w:ascii="Times New Roman" w:hAnsi="Times New Roman" w:eastAsia="宋体" w:cs="Times New Roman"/>
          <w:color w:val="auto"/>
          <w:highlight w:val="none"/>
          <w:lang w:val="en-US" w:eastAsia="zh-CN"/>
        </w:rPr>
        <w:sectPr>
          <w:footerReference r:id="rId5"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rPr>
          <w:rFonts w:hint="default" w:ascii="Times New Roman" w:hAnsi="Times New Roman" w:eastAsia="宋体" w:cs="Times New Roman"/>
          <w:color w:val="auto"/>
          <w:highlight w:val="none"/>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综合评分法</w:t>
      </w:r>
      <w:r>
        <w:rPr>
          <w:rFonts w:hint="eastAsia" w:ascii="Times New Roman" w:hAnsi="Times New Roman" w:eastAsia="黑体" w:cs="Times New Roman"/>
          <w:color w:val="auto"/>
          <w:sz w:val="28"/>
          <w:szCs w:val="28"/>
          <w:highlight w:val="none"/>
          <w:lang w:eastAsia="zh-CN"/>
        </w:rPr>
        <w:t>）</w:t>
      </w:r>
    </w:p>
    <w:tbl>
      <w:tblPr>
        <w:tblStyle w:val="21"/>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55"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155" w:type="dxa"/>
            <w:tcMar>
              <w:left w:w="75" w:type="dxa"/>
            </w:tcMar>
            <w:vAlign w:val="center"/>
          </w:tcPr>
          <w:p>
            <w:pPr>
              <w:widowControl/>
              <w:adjustRightInd w:val="0"/>
              <w:snapToGrid w:val="0"/>
              <w:ind w:firstLine="0" w:firstLineChars="0"/>
              <w:jc w:val="left"/>
              <w:rPr>
                <w:rFonts w:hint="eastAsia" w:eastAsiaTheme="minorEastAsia"/>
                <w:color w:val="auto"/>
                <w:highlight w:val="none"/>
                <w:lang w:val="en-US" w:eastAsia="zh-CN"/>
              </w:rPr>
            </w:pPr>
            <w:r>
              <w:rPr>
                <w:rFonts w:hint="eastAsia"/>
                <w:color w:val="auto"/>
                <w:highlight w:val="none"/>
                <w:lang w:val="en-US" w:eastAsia="zh-CN"/>
              </w:rPr>
              <w:t>按综合得分由高到低的顺序</w:t>
            </w:r>
            <w:r>
              <w:rPr>
                <w:rFonts w:hint="eastAsia"/>
                <w:color w:val="auto"/>
                <w:highlight w:val="none"/>
              </w:rPr>
              <w:t>依次推荐成交候选人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当综合得分相等时，以评审价得分高的优先；评审价得分也相等的，以评审价低的优先；评审价也相等的，以递交响应文件在前的优先。</w:t>
            </w:r>
          </w:p>
          <w:p>
            <w:pPr>
              <w:pStyle w:val="1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w:t>
            </w:r>
            <w:r>
              <w:rPr>
                <w:rFonts w:hint="eastAsia" w:eastAsia="仿宋_GB2312"/>
                <w:color w:val="auto"/>
                <w:sz w:val="28"/>
                <w:szCs w:val="28"/>
                <w:highlight w:val="none"/>
              </w:rPr>
              <w:t>/</w:t>
            </w:r>
            <w:r>
              <w:rPr>
                <w:rFonts w:hint="eastAsia" w:ascii="Times New Roman" w:hAnsi="Times New Roman" w:cs="Times New Roman"/>
                <w:color w:val="auto"/>
                <w:kern w:val="0"/>
                <w:szCs w:val="21"/>
                <w:highlight w:val="none"/>
                <w:lang w:val="en-US" w:eastAsia="zh-CN"/>
              </w:rPr>
              <w:t>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21"/>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16"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11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11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11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116"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11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服务期</w:t>
            </w:r>
          </w:p>
        </w:tc>
        <w:tc>
          <w:tcPr>
            <w:tcW w:w="511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11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安全目标</w:t>
            </w:r>
          </w:p>
        </w:tc>
        <w:tc>
          <w:tcPr>
            <w:tcW w:w="511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116"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11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11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116"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11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11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11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11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spacing w:line="360" w:lineRule="atLeast"/>
        <w:ind w:firstLine="0" w:firstLineChars="0"/>
        <w:jc w:val="center"/>
        <w:rPr>
          <w:rFonts w:hint="eastAsia" w:ascii="Times New Roman" w:hAnsi="Times New Roman" w:cs="Times New Roman"/>
          <w:color w:val="auto"/>
          <w:highlight w:val="none"/>
        </w:rPr>
      </w:pPr>
    </w:p>
    <w:tbl>
      <w:tblPr>
        <w:tblStyle w:val="21"/>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ind w:firstLine="0" w:firstLine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276" w:type="dxa"/>
            <w:tcMar>
              <w:left w:w="75" w:type="dxa"/>
            </w:tcMar>
            <w:vAlign w:val="center"/>
          </w:tcPr>
          <w:p>
            <w:pPr>
              <w:snapToGrid w:val="0"/>
              <w:ind w:firstLine="0" w:firstLine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条款内容</w:t>
            </w:r>
          </w:p>
        </w:tc>
        <w:tc>
          <w:tcPr>
            <w:tcW w:w="5706" w:type="dxa"/>
            <w:vAlign w:val="center"/>
          </w:tcPr>
          <w:p>
            <w:pPr>
              <w:widowControl/>
              <w:snapToGrid w:val="0"/>
              <w:ind w:firstLine="0" w:firstLine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2.2.1</w:t>
            </w:r>
          </w:p>
        </w:tc>
        <w:tc>
          <w:tcPr>
            <w:tcW w:w="1276" w:type="dxa"/>
            <w:tcMar>
              <w:left w:w="75" w:type="dxa"/>
            </w:tcMar>
            <w:vAlign w:val="center"/>
          </w:tcPr>
          <w:p>
            <w:pPr>
              <w:snapToGrid w:val="0"/>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分值构成（100分）</w:t>
            </w:r>
          </w:p>
        </w:tc>
        <w:tc>
          <w:tcPr>
            <w:tcW w:w="5706" w:type="dxa"/>
            <w:vAlign w:val="center"/>
          </w:tcPr>
          <w:p>
            <w:pPr>
              <w:spacing w:line="360" w:lineRule="atLeast"/>
              <w:ind w:firstLine="42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业绩</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u w:val="single"/>
                <w:lang w:val="en-US" w:eastAsia="zh-CN"/>
              </w:rPr>
              <w:t>_</w:t>
            </w:r>
            <w:r>
              <w:rPr>
                <w:rFonts w:hint="eastAsia" w:ascii="Times New Roman" w:hAnsi="Times New Roman" w:cs="Times New Roman"/>
                <w:color w:val="auto"/>
                <w:szCs w:val="21"/>
                <w:highlight w:val="none"/>
                <w:u w:val="single"/>
                <w:lang w:val="en-US" w:eastAsia="zh-CN"/>
              </w:rPr>
              <w:t xml:space="preserve">   20</w:t>
            </w:r>
            <w:r>
              <w:rPr>
                <w:rFonts w:hint="default" w:ascii="Times New Roman" w:hAnsi="Times New Roman" w:cs="Times New Roman"/>
                <w:color w:val="auto"/>
                <w:szCs w:val="21"/>
                <w:highlight w:val="none"/>
                <w:u w:val="single"/>
                <w:lang w:val="en-US" w:eastAsia="zh-CN"/>
              </w:rPr>
              <w:t>__</w:t>
            </w:r>
            <w:r>
              <w:rPr>
                <w:rFonts w:hint="default" w:ascii="Times New Roman" w:hAnsi="Times New Roman" w:cs="Times New Roman"/>
                <w:color w:val="auto"/>
                <w:szCs w:val="21"/>
                <w:highlight w:val="none"/>
              </w:rPr>
              <w:t>分</w:t>
            </w:r>
          </w:p>
          <w:p>
            <w:pPr>
              <w:spacing w:line="360" w:lineRule="atLeast"/>
              <w:ind w:firstLine="42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技术方案</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20</w:t>
            </w:r>
            <w:r>
              <w:rPr>
                <w:rFonts w:hint="default" w:ascii="Times New Roman" w:hAnsi="Times New Roman" w:cs="Times New Roman"/>
                <w:color w:val="auto"/>
                <w:szCs w:val="21"/>
                <w:highlight w:val="none"/>
                <w:lang w:val="en-US" w:eastAsia="zh-CN"/>
              </w:rPr>
              <w:t>___</w:t>
            </w:r>
            <w:r>
              <w:rPr>
                <w:rFonts w:hint="default" w:ascii="Times New Roman" w:hAnsi="Times New Roman" w:cs="Times New Roman"/>
                <w:color w:val="auto"/>
                <w:szCs w:val="21"/>
                <w:highlight w:val="none"/>
              </w:rPr>
              <w:t>分</w:t>
            </w:r>
          </w:p>
          <w:p>
            <w:pPr>
              <w:spacing w:line="360" w:lineRule="atLeast"/>
              <w:ind w:firstLine="420" w:firstLineChars="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w:t>
            </w:r>
            <w:r>
              <w:rPr>
                <w:rFonts w:hint="default" w:ascii="Times New Roman" w:hAnsi="Times New Roman" w:cs="Times New Roman"/>
                <w:color w:val="auto"/>
                <w:szCs w:val="21"/>
                <w:highlight w:val="none"/>
                <w:lang w:val="en-US" w:eastAsia="zh-CN"/>
              </w:rPr>
              <w:t>____</w:t>
            </w:r>
            <w:r>
              <w:rPr>
                <w:rFonts w:hint="eastAsia" w:ascii="Times New Roman" w:hAnsi="Times New Roman" w:cs="Times New Roman"/>
                <w:color w:val="auto"/>
                <w:szCs w:val="21"/>
                <w:highlight w:val="none"/>
                <w:u w:val="single"/>
                <w:lang w:val="en-US" w:eastAsia="zh-CN"/>
              </w:rPr>
              <w:t>60</w:t>
            </w:r>
            <w:r>
              <w:rPr>
                <w:rFonts w:hint="default" w:ascii="Times New Roman" w:hAnsi="Times New Roman" w:cs="Times New Roman"/>
                <w:color w:val="auto"/>
                <w:szCs w:val="21"/>
                <w:highlight w:val="none"/>
                <w:lang w:val="en-US" w:eastAsia="zh-CN"/>
              </w:rPr>
              <w:t>___</w:t>
            </w:r>
            <w:r>
              <w:rPr>
                <w:rFonts w:hint="default" w:ascii="Times New Roman" w:hAnsi="Times New Roman"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ind w:firstLine="0" w:firstLineChars="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评审基准价</w:t>
            </w:r>
            <w:r>
              <w:rPr>
                <w:rFonts w:hint="default" w:ascii="Times New Roman" w:hAnsi="Times New Roman" w:cs="Times New Roman"/>
                <w:color w:val="auto"/>
                <w:szCs w:val="21"/>
                <w:highlight w:val="none"/>
              </w:rPr>
              <w:t>计算方法</w:t>
            </w:r>
          </w:p>
        </w:tc>
        <w:tc>
          <w:tcPr>
            <w:tcW w:w="5706"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评审基准价</w:t>
            </w:r>
            <w:r>
              <w:rPr>
                <w:rFonts w:hint="default" w:ascii="Times New Roman" w:hAnsi="Times New Roman" w:cs="Times New Roman"/>
                <w:color w:val="auto"/>
                <w:szCs w:val="21"/>
                <w:highlight w:val="none"/>
              </w:rPr>
              <w:t>的计算：</w:t>
            </w:r>
          </w:p>
          <w:p>
            <w:pPr>
              <w:spacing w:line="360" w:lineRule="atLeas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价的确定：</w:t>
            </w:r>
          </w:p>
          <w:p>
            <w:pPr>
              <w:spacing w:line="360" w:lineRule="atLeast"/>
              <w:ind w:firstLine="420"/>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w:t>
            </w:r>
            <w:r>
              <w:rPr>
                <w:rFonts w:hint="eastAsia" w:ascii="Times New Roman" w:hAnsi="Times New Roman" w:cs="Times New Roman"/>
                <w:color w:val="auto"/>
                <w:szCs w:val="21"/>
                <w:highlight w:val="none"/>
                <w:lang w:val="en-US" w:eastAsia="zh-CN"/>
              </w:rPr>
              <w:t>修正后的报价</w:t>
            </w:r>
          </w:p>
          <w:p>
            <w:pPr>
              <w:spacing w:line="360" w:lineRule="atLeas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价平均值的计算</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不适用方法三</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w:t>
            </w:r>
          </w:p>
          <w:p>
            <w:pPr>
              <w:spacing w:line="360" w:lineRule="atLeas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所有</w:t>
            </w:r>
            <w:r>
              <w:rPr>
                <w:rFonts w:hint="eastAsia" w:ascii="Times New Roman" w:hAnsi="Times New Roman" w:cs="Times New Roman"/>
                <w:color w:val="auto"/>
                <w:szCs w:val="21"/>
                <w:highlight w:val="none"/>
                <w:lang w:val="en-US" w:eastAsia="zh-CN"/>
              </w:rPr>
              <w:t>通过初步评审的</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的评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价去掉一个最高值和一个最低值后的算术平均值即为</w:t>
            </w:r>
            <w:r>
              <w:rPr>
                <w:rFonts w:hint="default" w:ascii="Times New Roman" w:hAnsi="Times New Roman" w:cs="Times New Roman"/>
                <w:color w:val="auto"/>
                <w:szCs w:val="21"/>
                <w:highlight w:val="none"/>
                <w:lang w:eastAsia="zh-CN"/>
              </w:rPr>
              <w:t>评审价</w:t>
            </w:r>
            <w:r>
              <w:rPr>
                <w:rFonts w:hint="default" w:ascii="Times New Roman" w:hAnsi="Times New Roman" w:cs="Times New Roman"/>
                <w:color w:val="auto"/>
                <w:szCs w:val="21"/>
                <w:highlight w:val="none"/>
              </w:rPr>
              <w:t>平均值（如果参与评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价平均值计算的有效</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少于5家时，则计算评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价平均值时不去掉最高值和最低值）；</w:t>
            </w:r>
          </w:p>
          <w:p>
            <w:pPr>
              <w:spacing w:line="360" w:lineRule="atLeas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eastAsia="zh-CN"/>
              </w:rPr>
              <w:t>评审基准价</w:t>
            </w:r>
            <w:r>
              <w:rPr>
                <w:rFonts w:hint="default" w:ascii="Times New Roman" w:hAnsi="Times New Roman" w:cs="Times New Roman"/>
                <w:color w:val="auto"/>
                <w:szCs w:val="21"/>
                <w:highlight w:val="none"/>
              </w:rPr>
              <w:t>的确定 ：</w:t>
            </w:r>
          </w:p>
          <w:p>
            <w:pPr>
              <w:spacing w:line="360" w:lineRule="atLeast"/>
              <w:ind w:firstLine="420"/>
              <w:rPr>
                <w:rFonts w:hint="default" w:ascii="Times New Roman" w:hAnsi="Times New Roman" w:cs="Times New Roman"/>
                <w:color w:val="auto"/>
                <w:szCs w:val="21"/>
                <w:highlight w:val="none"/>
              </w:rPr>
            </w:pPr>
            <w:r>
              <w:rPr>
                <w:rFonts w:hint="eastAsia" w:hAnsi="宋体" w:eastAsia="宋体"/>
                <w:sz w:val="24"/>
                <w:szCs w:val="24"/>
                <w:lang w:eastAsia="zh-CN"/>
              </w:rPr>
              <w:t>☑</w:t>
            </w:r>
            <w:r>
              <w:rPr>
                <w:rFonts w:hint="default" w:ascii="Times New Roman" w:hAnsi="Times New Roman" w:cs="Times New Roman"/>
                <w:color w:val="auto"/>
                <w:szCs w:val="21"/>
                <w:highlight w:val="none"/>
              </w:rPr>
              <w:t>方法一：将</w:t>
            </w:r>
            <w:r>
              <w:rPr>
                <w:rFonts w:hint="default" w:ascii="Times New Roman" w:hAnsi="Times New Roman" w:cs="Times New Roman"/>
                <w:color w:val="auto"/>
                <w:szCs w:val="21"/>
                <w:highlight w:val="none"/>
                <w:lang w:eastAsia="zh-CN"/>
              </w:rPr>
              <w:t>评审价</w:t>
            </w:r>
            <w:r>
              <w:rPr>
                <w:rFonts w:hint="default" w:ascii="Times New Roman" w:hAnsi="Times New Roman" w:cs="Times New Roman"/>
                <w:color w:val="auto"/>
                <w:szCs w:val="21"/>
                <w:highlight w:val="none"/>
              </w:rPr>
              <w:t>平均值直接作为</w:t>
            </w:r>
            <w:r>
              <w:rPr>
                <w:rFonts w:hint="default" w:ascii="Times New Roman" w:hAnsi="Times New Roman" w:cs="Times New Roman"/>
                <w:color w:val="auto"/>
                <w:szCs w:val="21"/>
                <w:highlight w:val="none"/>
                <w:lang w:eastAsia="zh-CN"/>
              </w:rPr>
              <w:t>评审基准价</w:t>
            </w:r>
            <w:r>
              <w:rPr>
                <w:rFonts w:hint="default" w:ascii="Times New Roman" w:hAnsi="Times New Roman" w:cs="Times New Roman"/>
                <w:color w:val="auto"/>
                <w:szCs w:val="21"/>
                <w:highlight w:val="none"/>
              </w:rPr>
              <w:t>。</w:t>
            </w:r>
          </w:p>
          <w:p>
            <w:pPr>
              <w:spacing w:line="360" w:lineRule="atLeast"/>
              <w:ind w:firstLine="420"/>
              <w:rPr>
                <w:rFonts w:hint="default" w:ascii="Times New Roman" w:hAnsi="Times New Roman" w:cs="Times New Roman"/>
                <w:color w:val="auto"/>
                <w:szCs w:val="21"/>
                <w:highlight w:val="none"/>
              </w:rPr>
            </w:pPr>
            <w:r>
              <w:rPr>
                <w:rFonts w:hint="eastAsia" w:hAnsi="宋体" w:eastAsia="宋体"/>
                <w:sz w:val="24"/>
                <w:szCs w:val="24"/>
                <w:lang w:eastAsia="zh-CN"/>
              </w:rPr>
              <w:t>□</w:t>
            </w:r>
            <w:r>
              <w:rPr>
                <w:rFonts w:hint="default" w:ascii="Times New Roman" w:hAnsi="Times New Roman" w:cs="Times New Roman"/>
                <w:color w:val="auto"/>
                <w:szCs w:val="21"/>
                <w:highlight w:val="none"/>
              </w:rPr>
              <w:t>方法二：将</w:t>
            </w:r>
            <w:r>
              <w:rPr>
                <w:rFonts w:hint="default" w:ascii="Times New Roman" w:hAnsi="Times New Roman" w:cs="Times New Roman"/>
                <w:color w:val="auto"/>
                <w:szCs w:val="21"/>
                <w:highlight w:val="none"/>
                <w:lang w:eastAsia="zh-CN"/>
              </w:rPr>
              <w:t>评审价</w:t>
            </w:r>
            <w:r>
              <w:rPr>
                <w:rFonts w:hint="default" w:ascii="Times New Roman" w:hAnsi="Times New Roman" w:cs="Times New Roman"/>
                <w:color w:val="auto"/>
                <w:szCs w:val="21"/>
                <w:highlight w:val="none"/>
              </w:rPr>
              <w:t>平均值下浮__%，作为</w:t>
            </w:r>
            <w:r>
              <w:rPr>
                <w:rFonts w:hint="default" w:ascii="Times New Roman" w:hAnsi="Times New Roman" w:cs="Times New Roman"/>
                <w:color w:val="auto"/>
                <w:szCs w:val="21"/>
                <w:highlight w:val="none"/>
                <w:lang w:eastAsia="zh-CN"/>
              </w:rPr>
              <w:t>评审基准价</w:t>
            </w:r>
            <w:r>
              <w:rPr>
                <w:rFonts w:hint="default" w:ascii="Times New Roman" w:hAnsi="Times New Roman" w:cs="Times New Roman"/>
                <w:color w:val="auto"/>
                <w:szCs w:val="21"/>
                <w:highlight w:val="none"/>
              </w:rPr>
              <w:t>。</w:t>
            </w:r>
          </w:p>
          <w:p>
            <w:pPr>
              <w:spacing w:line="360" w:lineRule="atLeast"/>
              <w:ind w:firstLine="420"/>
              <w:rPr>
                <w:rFonts w:hint="default" w:ascii="Times New Roman" w:hAnsi="Times New Roman" w:cs="Times New Roman" w:eastAsiaTheme="minorEastAsia"/>
                <w:color w:val="auto"/>
                <w:szCs w:val="21"/>
                <w:highlight w:val="none"/>
                <w:lang w:eastAsia="zh-CN"/>
              </w:rPr>
            </w:pPr>
            <w:r>
              <w:rPr>
                <w:rFonts w:hint="eastAsia" w:hAnsi="宋体" w:eastAsia="宋体"/>
                <w:sz w:val="24"/>
                <w:szCs w:val="24"/>
                <w:lang w:eastAsia="zh-CN"/>
              </w:rPr>
              <w:t>□</w:t>
            </w:r>
            <w:r>
              <w:rPr>
                <w:rFonts w:hint="default" w:ascii="Times New Roman" w:hAnsi="Times New Roman" w:cs="Times New Roman"/>
                <w:color w:val="auto"/>
                <w:szCs w:val="21"/>
                <w:highlight w:val="none"/>
              </w:rPr>
              <w:t>方法三：</w:t>
            </w:r>
            <w:r>
              <w:rPr>
                <w:rFonts w:hint="eastAsia" w:ascii="Times New Roman" w:hAnsi="Times New Roman" w:cs="Times New Roman"/>
                <w:color w:val="auto"/>
                <w:szCs w:val="21"/>
                <w:highlight w:val="none"/>
                <w:lang w:val="en-US" w:eastAsia="zh-CN"/>
              </w:rPr>
              <w:t>将评审价中的最低值作为</w:t>
            </w:r>
            <w:r>
              <w:rPr>
                <w:rFonts w:hint="default" w:ascii="Times New Roman" w:hAnsi="Times New Roman" w:cs="Times New Roman"/>
                <w:color w:val="auto"/>
                <w:szCs w:val="21"/>
                <w:highlight w:val="none"/>
                <w:lang w:eastAsia="zh-CN"/>
              </w:rPr>
              <w:t>评审基准价</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2.2.3</w:t>
            </w:r>
          </w:p>
        </w:tc>
        <w:tc>
          <w:tcPr>
            <w:tcW w:w="1276" w:type="dxa"/>
            <w:tcBorders>
              <w:top w:val="single" w:color="auto" w:sz="4" w:space="0"/>
              <w:right w:val="single" w:color="auto" w:sz="4" w:space="0"/>
            </w:tcBorders>
            <w:tcMar>
              <w:left w:w="75" w:type="dxa"/>
            </w:tcMar>
            <w:vAlign w:val="center"/>
          </w:tcPr>
          <w:p>
            <w:pPr>
              <w:snapToGrid w:val="0"/>
              <w:ind w:firstLine="0" w:firstLineChars="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评审价</w:t>
            </w:r>
            <w:r>
              <w:rPr>
                <w:rFonts w:hint="default" w:ascii="Times New Roman" w:hAnsi="Times New Roman" w:cs="Times New Roman"/>
                <w:color w:val="auto"/>
                <w:szCs w:val="21"/>
                <w:highlight w:val="none"/>
              </w:rPr>
              <w:t>的偏差率计算公式</w:t>
            </w:r>
          </w:p>
        </w:tc>
        <w:tc>
          <w:tcPr>
            <w:tcW w:w="5706" w:type="dxa"/>
            <w:tcBorders>
              <w:top w:val="single" w:color="auto" w:sz="4" w:space="0"/>
              <w:left w:val="single" w:color="auto" w:sz="4" w:space="0"/>
              <w:right w:val="single" w:color="auto" w:sz="4" w:space="0"/>
            </w:tcBorders>
            <w:vAlign w:val="center"/>
          </w:tcPr>
          <w:p>
            <w:pPr>
              <w:spacing w:line="360" w:lineRule="atLeast"/>
              <w:ind w:firstLine="420"/>
              <w:rPr>
                <w:rFonts w:hint="default"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偏差率=100% ×（</w:t>
            </w:r>
            <w:r>
              <w:rPr>
                <w:rFonts w:hint="default" w:ascii="Times New Roman" w:hAnsi="Times New Roman" w:cs="Times New Roman"/>
                <w:color w:val="auto"/>
                <w:szCs w:val="21"/>
                <w:highlight w:val="none"/>
                <w:lang w:eastAsia="zh-CN"/>
              </w:rPr>
              <w:t>供应商评审价</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评审基准价</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评审基准价</w:t>
            </w:r>
          </w:p>
          <w:p>
            <w:pPr>
              <w:spacing w:line="360" w:lineRule="atLeas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偏差率保留</w:t>
            </w:r>
            <w:r>
              <w:rPr>
                <w:rFonts w:hint="default"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2</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位小数</w:t>
            </w:r>
          </w:p>
        </w:tc>
      </w:tr>
    </w:tbl>
    <w:p>
      <w:pPr>
        <w:ind w:firstLine="0" w:firstLineChars="0"/>
        <w:jc w:val="right"/>
        <w:rPr>
          <w:rFonts w:hint="default" w:ascii="Times New Roman" w:hAnsi="Times New Roman" w:cs="Times New Roman"/>
          <w:color w:val="auto"/>
          <w:spacing w:val="4"/>
          <w:szCs w:val="21"/>
          <w:highlight w:val="none"/>
        </w:rPr>
      </w:pPr>
    </w:p>
    <w:p>
      <w:pPr>
        <w:ind w:firstLine="0" w:firstLineChars="0"/>
        <w:jc w:val="left"/>
        <w:rPr>
          <w:rFonts w:hint="default" w:ascii="Times New Roman" w:hAnsi="Times New Roman" w:cs="Times New Roman"/>
          <w:color w:val="auto"/>
          <w:spacing w:val="4"/>
          <w:szCs w:val="21"/>
          <w:highlight w:val="none"/>
        </w:rPr>
      </w:pPr>
      <w:r>
        <w:rPr>
          <w:rFonts w:hint="default" w:ascii="Times New Roman" w:hAnsi="Times New Roman" w:cs="Times New Roman"/>
          <w:color w:val="auto"/>
          <w:spacing w:val="4"/>
          <w:szCs w:val="21"/>
          <w:highlight w:val="none"/>
        </w:rPr>
        <w:br w:type="page"/>
      </w:r>
    </w:p>
    <w:p>
      <w:pPr>
        <w:ind w:firstLine="0" w:firstLineChars="0"/>
        <w:jc w:val="right"/>
        <w:rPr>
          <w:rFonts w:hint="default" w:ascii="Times New Roman" w:hAnsi="Times New Roman" w:cs="Times New Roman"/>
          <w:color w:val="auto"/>
          <w:highlight w:val="none"/>
        </w:rPr>
      </w:pPr>
      <w:r>
        <w:rPr>
          <w:rFonts w:hint="default" w:ascii="Times New Roman" w:hAnsi="Times New Roman" w:cs="Times New Roman"/>
          <w:color w:val="auto"/>
          <w:spacing w:val="4"/>
          <w:szCs w:val="21"/>
          <w:highlight w:val="none"/>
        </w:rPr>
        <w:t>续上表</w:t>
      </w:r>
    </w:p>
    <w:tbl>
      <w:tblPr>
        <w:tblStyle w:val="21"/>
        <w:tblW w:w="8511"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635"/>
        <w:gridCol w:w="1005"/>
        <w:gridCol w:w="2877"/>
        <w:gridCol w:w="75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278" w:type="dxa"/>
            <w:gridSpan w:val="5"/>
            <w:tcBorders>
              <w:top w:val="single" w:color="auto" w:sz="4" w:space="0"/>
            </w:tcBorders>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评分因素与权重分值</w:t>
            </w:r>
          </w:p>
        </w:tc>
        <w:tc>
          <w:tcPr>
            <w:tcW w:w="1233" w:type="dxa"/>
            <w:vMerge w:val="restart"/>
            <w:tcBorders>
              <w:top w:val="single" w:color="auto" w:sz="4" w:space="0"/>
            </w:tcBorders>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005" w:type="dxa"/>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635" w:type="dxa"/>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评分因素</w:t>
            </w:r>
          </w:p>
        </w:tc>
        <w:tc>
          <w:tcPr>
            <w:tcW w:w="1005" w:type="dxa"/>
            <w:vAlign w:val="center"/>
          </w:tcPr>
          <w:p>
            <w:pPr>
              <w:spacing w:line="380" w:lineRule="atLeast"/>
              <w:ind w:left="-105" w:leftChars="-50" w:right="-105" w:rightChars="-50"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评分因素权重分值</w:t>
            </w:r>
          </w:p>
        </w:tc>
        <w:tc>
          <w:tcPr>
            <w:tcW w:w="2877" w:type="dxa"/>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各评分因素细分项</w:t>
            </w:r>
          </w:p>
        </w:tc>
        <w:tc>
          <w:tcPr>
            <w:tcW w:w="756" w:type="dxa"/>
            <w:vAlign w:val="center"/>
          </w:tcPr>
          <w:p>
            <w:pPr>
              <w:spacing w:line="380" w:lineRule="atLeast"/>
              <w:ind w:firstLine="0" w:firstLineChars="0"/>
              <w:jc w:val="righ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分值</w:t>
            </w:r>
          </w:p>
        </w:tc>
        <w:tc>
          <w:tcPr>
            <w:tcW w:w="1233" w:type="dxa"/>
            <w:vMerge w:val="continue"/>
          </w:tcPr>
          <w:p>
            <w:pPr>
              <w:spacing w:line="380" w:lineRule="atLeast"/>
              <w:ind w:firstLine="0" w:firstLineChars="0"/>
              <w:jc w:val="center"/>
              <w:rPr>
                <w:rFonts w:hint="default" w:ascii="Times New Roman" w:hAnsi="Times New Roman" w:cs="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5" w:type="dxa"/>
            <w:vAlign w:val="center"/>
          </w:tcPr>
          <w:p>
            <w:pPr>
              <w:spacing w:line="38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1</w:t>
            </w:r>
            <w:r>
              <w:rPr>
                <w:rFonts w:hint="eastAsia" w:ascii="Times New Roman" w:hAnsi="Times New Roman" w:cs="Times New Roman"/>
                <w:color w:val="auto"/>
                <w:szCs w:val="21"/>
                <w:highlight w:val="none"/>
                <w:lang w:eastAsia="zh-CN"/>
              </w:rPr>
              <w:t>）</w:t>
            </w:r>
          </w:p>
        </w:tc>
        <w:tc>
          <w:tcPr>
            <w:tcW w:w="163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业绩</w:t>
            </w:r>
          </w:p>
        </w:tc>
        <w:tc>
          <w:tcPr>
            <w:tcW w:w="100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20</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分</w:t>
            </w:r>
          </w:p>
        </w:tc>
        <w:tc>
          <w:tcPr>
            <w:tcW w:w="4866" w:type="dxa"/>
            <w:gridSpan w:val="3"/>
          </w:tcPr>
          <w:p>
            <w:pPr>
              <w:spacing w:line="380" w:lineRule="atLeast"/>
              <w:ind w:firstLine="0" w:firstLineChars="0"/>
              <w:rPr>
                <w:rFonts w:hint="eastAsia"/>
              </w:rPr>
            </w:pPr>
            <w:r>
              <w:rPr>
                <w:rFonts w:hint="eastAsia"/>
              </w:rPr>
              <w:t>201</w:t>
            </w:r>
            <w:r>
              <w:rPr>
                <w:rFonts w:hint="eastAsia"/>
                <w:lang w:val="en-US" w:eastAsia="zh-CN"/>
              </w:rPr>
              <w:t>9</w:t>
            </w:r>
            <w:r>
              <w:rPr>
                <w:rFonts w:hint="eastAsia"/>
              </w:rPr>
              <w:t>年1月1日至响应文件递交截止日期（以合同签订时间为准），供应商主持完成过</w:t>
            </w:r>
            <w:r>
              <w:rPr>
                <w:rFonts w:hint="eastAsia"/>
                <w:lang w:val="en-US" w:eastAsia="zh-CN"/>
              </w:rPr>
              <w:t>5</w:t>
            </w:r>
            <w:r>
              <w:rPr>
                <w:rFonts w:hint="eastAsia"/>
              </w:rPr>
              <w:t>个（含）以上</w:t>
            </w:r>
            <w:r>
              <w:rPr>
                <w:rFonts w:hint="eastAsia"/>
                <w:lang w:eastAsia="zh-CN"/>
              </w:rPr>
              <w:t>，</w:t>
            </w:r>
            <w:r>
              <w:rPr>
                <w:rFonts w:hint="eastAsia"/>
                <w:lang w:val="en-US" w:eastAsia="zh-CN"/>
              </w:rPr>
              <w:t>其中拟委任本项目的资产评估师至少参加3　　　　　　　　　　　　　　　　　　　　　　　　　　　　　　　　　　　　　　　　　　　　　　　　　　　　　　　　　　　　　　　　　　　　　　　　　　　　　　　　　　　　　　　　　　　　　　　　　　　　　　　　　　　　　　　　　　　　　　　　　　　　　　　　　　　　　　　　　　个</w:t>
            </w:r>
            <w:r>
              <w:rPr>
                <w:rFonts w:hint="eastAsia"/>
              </w:rPr>
              <w:t>（含）</w:t>
            </w:r>
            <w:r>
              <w:rPr>
                <w:rFonts w:hint="eastAsia"/>
                <w:lang w:val="en-US" w:eastAsia="zh-CN"/>
              </w:rPr>
              <w:t>以上</w:t>
            </w:r>
            <w:r>
              <w:rPr>
                <w:rFonts w:hint="eastAsia"/>
                <w:lang w:eastAsia="zh-CN"/>
              </w:rPr>
              <w:t>资产评估</w:t>
            </w:r>
            <w:r>
              <w:rPr>
                <w:rFonts w:hint="eastAsia"/>
              </w:rPr>
              <w:t>项目，满足要求的得基本分</w:t>
            </w:r>
            <w:r>
              <w:rPr>
                <w:rFonts w:hint="eastAsia"/>
                <w:lang w:val="en-US" w:eastAsia="zh-CN"/>
              </w:rPr>
              <w:t>12</w:t>
            </w:r>
            <w:r>
              <w:rPr>
                <w:rFonts w:hint="eastAsia"/>
              </w:rPr>
              <w:t>分，</w:t>
            </w:r>
            <w:r>
              <w:rPr>
                <w:rFonts w:hint="eastAsia"/>
                <w:lang w:eastAsia="zh-CN"/>
              </w:rPr>
              <w:t>不满足的得</w:t>
            </w:r>
            <w:r>
              <w:rPr>
                <w:rFonts w:hint="eastAsia"/>
                <w:lang w:val="en-US" w:eastAsia="zh-CN"/>
              </w:rPr>
              <w:t>0分，</w:t>
            </w:r>
            <w:r>
              <w:rPr>
                <w:rFonts w:hint="eastAsia"/>
              </w:rPr>
              <w:t>在此基础上每增加一个项目加</w:t>
            </w:r>
            <w:r>
              <w:rPr>
                <w:rFonts w:hint="eastAsia"/>
                <w:lang w:val="en-US" w:eastAsia="zh-CN"/>
              </w:rPr>
              <w:t>2</w:t>
            </w:r>
            <w:r>
              <w:rPr>
                <w:rFonts w:hint="eastAsia"/>
              </w:rPr>
              <w:t>分，最多加</w:t>
            </w:r>
            <w:r>
              <w:rPr>
                <w:rFonts w:hint="eastAsia"/>
                <w:lang w:val="en-US" w:eastAsia="zh-CN"/>
              </w:rPr>
              <w:t>8</w:t>
            </w:r>
            <w:r>
              <w:rPr>
                <w:rFonts w:hint="eastAsia"/>
              </w:rPr>
              <w:t>分。</w:t>
            </w:r>
          </w:p>
          <w:p>
            <w:pPr>
              <w:pStyle w:val="2"/>
              <w:ind w:left="0" w:leftChars="0" w:firstLine="0" w:firstLineChars="0"/>
              <w:rPr>
                <w:rFonts w:hint="eastAsia" w:eastAsiaTheme="minorEastAsia"/>
                <w:lang w:eastAsia="zh-CN"/>
              </w:rPr>
            </w:pPr>
            <w:r>
              <w:rPr>
                <w:rFonts w:hint="eastAsia" w:ascii="Times New Roman" w:hAnsi="Times New Roman" w:cs="Times New Roman"/>
                <w:b/>
                <w:bCs/>
                <w:szCs w:val="21"/>
                <w:lang w:eastAsia="zh-CN"/>
              </w:rPr>
              <w:t>（</w:t>
            </w:r>
            <w:r>
              <w:rPr>
                <w:rFonts w:hint="eastAsia" w:ascii="Times New Roman" w:hAnsi="Times New Roman" w:cs="Times New Roman"/>
                <w:b/>
                <w:bCs/>
                <w:szCs w:val="21"/>
                <w:lang w:val="en-US" w:eastAsia="zh-CN"/>
              </w:rPr>
              <w:t>注：提供合同复印件并加盖响应人公章，其他形式的评委不予认可。</w:t>
            </w:r>
            <w:r>
              <w:rPr>
                <w:rFonts w:hint="eastAsia" w:ascii="Times New Roman" w:hAnsi="Times New Roman" w:cs="Times New Roman"/>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trPr>
        <w:tc>
          <w:tcPr>
            <w:tcW w:w="1005" w:type="dxa"/>
            <w:vAlign w:val="center"/>
          </w:tcPr>
          <w:p>
            <w:pPr>
              <w:spacing w:line="38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lang w:eastAsia="zh-CN"/>
              </w:rPr>
              <w:t>）</w:t>
            </w:r>
          </w:p>
        </w:tc>
        <w:tc>
          <w:tcPr>
            <w:tcW w:w="163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技术方案</w:t>
            </w:r>
          </w:p>
        </w:tc>
        <w:tc>
          <w:tcPr>
            <w:tcW w:w="100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20</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分</w:t>
            </w:r>
          </w:p>
        </w:tc>
        <w:tc>
          <w:tcPr>
            <w:tcW w:w="4866" w:type="dxa"/>
            <w:gridSpan w:val="3"/>
          </w:tcPr>
          <w:p>
            <w:pPr>
              <w:spacing w:line="400" w:lineRule="exact"/>
            </w:pPr>
            <w:r>
              <w:rPr>
                <w:rFonts w:hint="eastAsia"/>
              </w:rPr>
              <w:t>根据供应商提供的项目方案与</w:t>
            </w:r>
            <w:r>
              <w:rPr>
                <w:rFonts w:hint="eastAsia"/>
                <w:lang w:eastAsia="zh-CN"/>
              </w:rPr>
              <w:t>采购人资产评估</w:t>
            </w:r>
            <w:r>
              <w:rPr>
                <w:rFonts w:hint="eastAsia"/>
              </w:rPr>
              <w:t>目标和需求吻合度情况进行综合评审，主要包括对项目理解是否准确、到位；对关键业务流程及控制点的识别是否到位、对工作重点分析是否到位、是否全面、合理、科学、适应及可操作；进度安排是否科学合理；工作成果是否符合项目目的；是否能够有效控制项目质量，项目整体是否具有系统性、合理性、科学性，并具有很强的可操作性，评审分为</w:t>
            </w:r>
            <w:r>
              <w:rPr>
                <w:rFonts w:hint="eastAsia"/>
                <w:lang w:val="en-US" w:eastAsia="zh-CN"/>
              </w:rPr>
              <w:t>三</w:t>
            </w:r>
            <w:r>
              <w:rPr>
                <w:rFonts w:hint="eastAsia"/>
              </w:rPr>
              <w:t>个档次：</w:t>
            </w:r>
          </w:p>
          <w:p>
            <w:pPr>
              <w:spacing w:line="400" w:lineRule="exact"/>
            </w:pPr>
            <w:r>
              <w:rPr>
                <w:rFonts w:hint="eastAsia"/>
              </w:rPr>
              <w:t>优秀档次得分</w:t>
            </w:r>
            <w:r>
              <w:rPr>
                <w:rFonts w:hint="eastAsia"/>
                <w:lang w:val="en-US" w:eastAsia="zh-CN"/>
              </w:rPr>
              <w:t>15.1-20</w:t>
            </w:r>
            <w:r>
              <w:rPr>
                <w:rFonts w:hint="eastAsia"/>
              </w:rPr>
              <w:t>分；</w:t>
            </w:r>
          </w:p>
          <w:p>
            <w:pPr>
              <w:spacing w:line="400" w:lineRule="exact"/>
            </w:pPr>
            <w:r>
              <w:rPr>
                <w:rFonts w:hint="eastAsia"/>
              </w:rPr>
              <w:t>良好档次得分</w:t>
            </w:r>
            <w:r>
              <w:rPr>
                <w:rFonts w:hint="eastAsia"/>
                <w:lang w:val="en-US" w:eastAsia="zh-CN"/>
              </w:rPr>
              <w:t>10.1-15</w:t>
            </w:r>
            <w:r>
              <w:rPr>
                <w:rFonts w:hint="eastAsia"/>
              </w:rPr>
              <w:t>分；</w:t>
            </w:r>
          </w:p>
          <w:p>
            <w:pPr>
              <w:spacing w:line="400" w:lineRule="exact"/>
              <w:ind w:firstLine="0" w:firstLineChars="0"/>
              <w:rPr>
                <w:rFonts w:hint="eastAsia"/>
              </w:rPr>
            </w:pPr>
            <w:r>
              <w:rPr>
                <w:rFonts w:hint="eastAsia"/>
              </w:rPr>
              <w:t>一般档次得分</w:t>
            </w:r>
            <w:r>
              <w:rPr>
                <w:rFonts w:hint="eastAsia" w:asciiTheme="minorHAnsi" w:hAnsiTheme="minorHAnsi" w:cstheme="minorBidi"/>
                <w:szCs w:val="24"/>
                <w:lang w:val="en-US" w:eastAsia="zh-CN"/>
              </w:rPr>
              <w:t>0-</w:t>
            </w:r>
            <w:r>
              <w:rPr>
                <w:rFonts w:hint="eastAsia"/>
                <w:lang w:val="en-US" w:eastAsia="zh-CN"/>
              </w:rPr>
              <w:t>10</w:t>
            </w:r>
            <w:r>
              <w:rPr>
                <w:rFonts w:hint="eastAsia"/>
              </w:rPr>
              <w:t>分。</w:t>
            </w:r>
          </w:p>
          <w:p>
            <w:pPr>
              <w:pStyle w:val="2"/>
              <w:ind w:left="0" w:leftChars="0" w:firstLine="0" w:firstLineChars="0"/>
              <w:rPr>
                <w:rFonts w:hint="default" w:ascii="Times New Roman" w:hAnsi="Times New Roman" w:cs="Times New Roman"/>
                <w:szCs w:val="21"/>
                <w:lang w:val="en-US" w:eastAsia="zh-CN"/>
              </w:rPr>
            </w:pPr>
            <w:r>
              <w:rPr>
                <w:rFonts w:hint="eastAsia" w:ascii="Times New Roman" w:hAnsi="Times New Roman" w:cs="Times New Roman"/>
                <w:b/>
                <w:bCs/>
                <w:szCs w:val="21"/>
                <w:lang w:val="en-US" w:eastAsia="zh-CN"/>
              </w:rPr>
              <w:t>（注：由响应人自行编制技术方案并加盖响应人公章。）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5" w:type="dxa"/>
            <w:vAlign w:val="center"/>
          </w:tcPr>
          <w:p>
            <w:pPr>
              <w:spacing w:line="380" w:lineRule="atLeast"/>
              <w:ind w:firstLine="0" w:firstLineChars="0"/>
              <w:jc w:val="center"/>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2.2.4</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3</w:t>
            </w:r>
            <w:r>
              <w:rPr>
                <w:rFonts w:hint="eastAsia" w:ascii="Times New Roman" w:hAnsi="Times New Roman" w:cs="Times New Roman"/>
                <w:color w:val="auto"/>
                <w:szCs w:val="21"/>
                <w:highlight w:val="none"/>
                <w:lang w:eastAsia="zh-CN"/>
              </w:rPr>
              <w:t>）</w:t>
            </w:r>
          </w:p>
        </w:tc>
        <w:tc>
          <w:tcPr>
            <w:tcW w:w="1635" w:type="dxa"/>
            <w:vAlign w:val="center"/>
          </w:tcPr>
          <w:p>
            <w:pPr>
              <w:spacing w:line="380" w:lineRule="atLeast"/>
              <w:ind w:firstLine="0" w:firstLineChars="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评审价</w:t>
            </w:r>
          </w:p>
          <w:p>
            <w:pPr>
              <w:spacing w:line="380" w:lineRule="atLeast"/>
              <w:ind w:firstLine="0" w:firstLineChars="0"/>
              <w:jc w:val="center"/>
              <w:rPr>
                <w:rFonts w:hint="default" w:ascii="Times New Roman" w:hAnsi="Times New Roman" w:cs="Times New Roman" w:eastAsiaTheme="minorEastAsia"/>
                <w:color w:val="auto"/>
                <w:szCs w:val="21"/>
                <w:highlight w:val="none"/>
                <w:lang w:eastAsia="zh-CN"/>
              </w:rPr>
            </w:pPr>
          </w:p>
        </w:tc>
        <w:tc>
          <w:tcPr>
            <w:tcW w:w="1005" w:type="dxa"/>
            <w:vAlign w:val="center"/>
          </w:tcPr>
          <w:p>
            <w:pPr>
              <w:spacing w:line="380" w:lineRule="atLeast"/>
              <w:ind w:firstLine="0" w:firstLineChars="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60</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分</w:t>
            </w:r>
          </w:p>
        </w:tc>
        <w:tc>
          <w:tcPr>
            <w:tcW w:w="4866" w:type="dxa"/>
            <w:gridSpan w:val="3"/>
          </w:tcPr>
          <w:p>
            <w:pPr>
              <w:spacing w:line="380" w:lineRule="atLeast"/>
              <w:ind w:firstLine="0" w:firstLineChars="0"/>
              <w:rPr>
                <w:rFonts w:hint="default"/>
              </w:rPr>
            </w:pPr>
            <w:r>
              <w:rPr>
                <w:rFonts w:hint="default"/>
                <w:lang w:eastAsia="zh-CN"/>
              </w:rPr>
              <w:t>评审价</w:t>
            </w:r>
            <w:r>
              <w:rPr>
                <w:rFonts w:hint="default"/>
              </w:rPr>
              <w:t>得分计算公式示例：</w:t>
            </w:r>
          </w:p>
          <w:p>
            <w:pPr>
              <w:spacing w:line="380" w:lineRule="atLeast"/>
              <w:ind w:firstLine="0" w:firstLineChars="0"/>
              <w:rPr>
                <w:rFonts w:hint="default"/>
              </w:rPr>
            </w:pPr>
            <w:r>
              <w:rPr>
                <w:rFonts w:hint="default"/>
              </w:rPr>
              <w:t>（1）如果</w:t>
            </w:r>
            <w:r>
              <w:rPr>
                <w:rFonts w:hint="default"/>
                <w:lang w:eastAsia="zh-CN"/>
              </w:rPr>
              <w:t>供应商</w:t>
            </w:r>
            <w:r>
              <w:rPr>
                <w:rFonts w:hint="default"/>
              </w:rPr>
              <w:t>的</w:t>
            </w:r>
            <w:r>
              <w:rPr>
                <w:rFonts w:hint="default"/>
                <w:lang w:eastAsia="zh-CN"/>
              </w:rPr>
              <w:t>评审价</w:t>
            </w:r>
            <w:r>
              <w:rPr>
                <w:rFonts w:hint="default"/>
              </w:rPr>
              <w:t>&gt;</w:t>
            </w:r>
            <w:r>
              <w:rPr>
                <w:rFonts w:hint="default"/>
                <w:lang w:eastAsia="zh-CN"/>
              </w:rPr>
              <w:t>评审基准价</w:t>
            </w:r>
            <w:r>
              <w:rPr>
                <w:rFonts w:hint="default"/>
              </w:rPr>
              <w:t>，则</w:t>
            </w:r>
            <w:r>
              <w:rPr>
                <w:rFonts w:hint="default"/>
                <w:lang w:eastAsia="zh-CN"/>
              </w:rPr>
              <w:t>评审价</w:t>
            </w:r>
            <w:r>
              <w:rPr>
                <w:rFonts w:hint="default"/>
              </w:rPr>
              <w:t>得分＝F－偏差率×100× E1；</w:t>
            </w:r>
          </w:p>
          <w:p>
            <w:pPr>
              <w:spacing w:line="380" w:lineRule="atLeast"/>
              <w:ind w:firstLine="0" w:firstLineChars="0"/>
              <w:rPr>
                <w:rFonts w:hint="default"/>
              </w:rPr>
            </w:pPr>
            <w:r>
              <w:rPr>
                <w:rFonts w:hint="default"/>
              </w:rPr>
              <w:t>（2）如果</w:t>
            </w:r>
            <w:r>
              <w:rPr>
                <w:rFonts w:hint="default"/>
                <w:lang w:eastAsia="zh-CN"/>
              </w:rPr>
              <w:t>供应商</w:t>
            </w:r>
            <w:r>
              <w:rPr>
                <w:rFonts w:hint="default"/>
              </w:rPr>
              <w:t>的</w:t>
            </w:r>
            <w:r>
              <w:rPr>
                <w:rFonts w:hint="default"/>
                <w:lang w:eastAsia="zh-CN"/>
              </w:rPr>
              <w:t>评审价</w:t>
            </w:r>
            <w:r>
              <w:rPr>
                <w:rFonts w:hint="default"/>
              </w:rPr>
              <w:t>≤</w:t>
            </w:r>
            <w:r>
              <w:rPr>
                <w:rFonts w:hint="default"/>
                <w:lang w:eastAsia="zh-CN"/>
              </w:rPr>
              <w:t>评审基准价</w:t>
            </w:r>
            <w:r>
              <w:rPr>
                <w:rFonts w:hint="default"/>
              </w:rPr>
              <w:t>，则</w:t>
            </w:r>
            <w:r>
              <w:rPr>
                <w:rFonts w:hint="default"/>
                <w:lang w:eastAsia="zh-CN"/>
              </w:rPr>
              <w:t>评审价</w:t>
            </w:r>
            <w:r>
              <w:rPr>
                <w:rFonts w:hint="default"/>
              </w:rPr>
              <w:t>得分＝F＋偏差率× 100× E2。</w:t>
            </w:r>
          </w:p>
          <w:p>
            <w:pPr>
              <w:spacing w:line="380" w:lineRule="atLeast"/>
              <w:ind w:firstLine="0" w:firstLineChars="0"/>
              <w:rPr>
                <w:rFonts w:hint="eastAsia"/>
                <w:lang w:val="en-US" w:eastAsia="zh-CN"/>
              </w:rPr>
            </w:pPr>
            <w:r>
              <w:rPr>
                <w:rFonts w:hint="default"/>
              </w:rPr>
              <w:t>其中：F是</w:t>
            </w:r>
            <w:r>
              <w:rPr>
                <w:rFonts w:hint="default"/>
                <w:lang w:eastAsia="zh-CN"/>
              </w:rPr>
              <w:t>评审价</w:t>
            </w:r>
            <w:r>
              <w:rPr>
                <w:rFonts w:hint="default"/>
              </w:rPr>
              <w:t>所占的权重分值，E1是</w:t>
            </w:r>
            <w:r>
              <w:rPr>
                <w:rFonts w:hint="default"/>
                <w:lang w:eastAsia="zh-CN"/>
              </w:rPr>
              <w:t>评审价</w:t>
            </w:r>
            <w:r>
              <w:rPr>
                <w:rFonts w:hint="default"/>
              </w:rPr>
              <w:t>每高于</w:t>
            </w:r>
            <w:r>
              <w:rPr>
                <w:rFonts w:hint="default"/>
                <w:lang w:eastAsia="zh-CN"/>
              </w:rPr>
              <w:t>评审基准价</w:t>
            </w:r>
            <w:r>
              <w:rPr>
                <w:rFonts w:hint="default"/>
              </w:rPr>
              <w:t>一个百分点的扣分值，</w:t>
            </w:r>
            <w:r>
              <w:rPr>
                <w:rFonts w:hint="default" w:asciiTheme="minorHAnsi" w:hAnsiTheme="minorHAnsi" w:cstheme="minorBidi"/>
                <w:color w:val="auto"/>
                <w:szCs w:val="24"/>
                <w:highlight w:val="none"/>
                <w:vertAlign w:val="baseline"/>
                <w:lang w:eastAsia="zh-CN"/>
              </w:rPr>
              <w:t>分值为</w:t>
            </w:r>
            <w:r>
              <w:rPr>
                <w:rFonts w:hint="eastAsia" w:cstheme="minorBidi"/>
                <w:color w:val="auto"/>
                <w:szCs w:val="24"/>
                <w:highlight w:val="none"/>
                <w:vertAlign w:val="baseline"/>
                <w:lang w:val="en-US" w:eastAsia="zh-CN"/>
              </w:rPr>
              <w:t>0.6</w:t>
            </w:r>
            <w:r>
              <w:rPr>
                <w:rFonts w:hint="default" w:asciiTheme="minorHAnsi" w:hAnsiTheme="minorHAnsi" w:cstheme="minorBidi"/>
                <w:color w:val="auto"/>
                <w:szCs w:val="24"/>
                <w:highlight w:val="none"/>
                <w:vertAlign w:val="baseline"/>
                <w:lang w:val="en-US" w:eastAsia="zh-CN"/>
              </w:rPr>
              <w:t>分</w:t>
            </w:r>
            <w:r>
              <w:rPr>
                <w:rFonts w:hint="eastAsia"/>
                <w:lang w:val="en-US" w:eastAsia="zh-CN"/>
              </w:rPr>
              <w:t>；</w:t>
            </w:r>
            <w:r>
              <w:rPr>
                <w:rFonts w:hint="default"/>
              </w:rPr>
              <w:t>E2是</w:t>
            </w:r>
            <w:r>
              <w:rPr>
                <w:rFonts w:hint="default"/>
                <w:lang w:eastAsia="zh-CN"/>
              </w:rPr>
              <w:t>评审价</w:t>
            </w:r>
            <w:r>
              <w:rPr>
                <w:rFonts w:hint="default"/>
              </w:rPr>
              <w:t>每低于</w:t>
            </w:r>
            <w:r>
              <w:rPr>
                <w:rFonts w:hint="default"/>
                <w:lang w:eastAsia="zh-CN"/>
              </w:rPr>
              <w:t>评审基准价</w:t>
            </w:r>
            <w:r>
              <w:rPr>
                <w:rFonts w:hint="default"/>
              </w:rPr>
              <w:t>一个百分点的扣分值</w:t>
            </w:r>
            <w:r>
              <w:rPr>
                <w:rFonts w:hint="eastAsia"/>
                <w:lang w:eastAsia="zh-CN"/>
              </w:rPr>
              <w:t>，分值为</w:t>
            </w:r>
            <w:r>
              <w:rPr>
                <w:rFonts w:hint="eastAsia"/>
                <w:lang w:val="en-US" w:eastAsia="zh-CN"/>
              </w:rPr>
              <w:t>0.3分。评审价得分最低为0分。</w:t>
            </w:r>
          </w:p>
          <w:p>
            <w:pPr>
              <w:pStyle w:val="2"/>
              <w:ind w:left="0" w:leftChars="0" w:firstLine="0" w:firstLineChars="0"/>
              <w:rPr>
                <w:rFonts w:hint="eastAsia"/>
                <w:lang w:eastAsia="zh-CN"/>
              </w:rPr>
            </w:pPr>
            <w:r>
              <w:rPr>
                <w:rFonts w:hint="eastAsia" w:ascii="Times New Roman" w:hAnsi="Times New Roman" w:cs="Times New Roman"/>
                <w:b/>
                <w:bCs/>
                <w:szCs w:val="21"/>
                <w:lang w:val="en-US" w:eastAsia="zh-CN"/>
              </w:rPr>
              <w:t>（注：按采购人提供的报价函格式提供并加盖响应人公章。）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1" w:type="dxa"/>
            <w:gridSpan w:val="6"/>
            <w:vAlign w:val="center"/>
          </w:tcPr>
          <w:p>
            <w:pPr>
              <w:spacing w:line="360" w:lineRule="atLeast"/>
              <w:ind w:firstLine="0" w:firstLineChars="0"/>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rPr>
              <w:t>需要补充的其他内容：</w:t>
            </w:r>
            <w:r>
              <w:rPr>
                <w:rFonts w:hint="eastAsia" w:ascii="Times New Roman" w:hAnsi="Times New Roman" w:cs="Times New Roman"/>
                <w:b/>
                <w:bCs/>
                <w:color w:val="auto"/>
                <w:szCs w:val="21"/>
                <w:highlight w:val="none"/>
                <w:u w:val="none"/>
                <w:lang w:val="en-US" w:eastAsia="zh-CN"/>
              </w:rPr>
              <w:t>资产评估需采用两种以上的评价方法，资产评估结果需通过采购人及上级单位组织的内、外部专家评审。</w:t>
            </w:r>
          </w:p>
          <w:p>
            <w:pPr>
              <w:spacing w:line="360" w:lineRule="atLeast"/>
              <w:ind w:firstLine="0" w:firstLineChars="0"/>
              <w:rPr>
                <w:rFonts w:hint="default" w:ascii="Times New Roman" w:hAnsi="Times New Roman" w:cs="Times New Roman"/>
                <w:color w:val="auto"/>
                <w:szCs w:val="21"/>
                <w:highlight w:val="none"/>
              </w:rPr>
            </w:pPr>
          </w:p>
        </w:tc>
      </w:tr>
    </w:tbl>
    <w:p>
      <w:pPr>
        <w:widowControl/>
        <w:ind w:firstLine="0" w:firstLineChars="0"/>
        <w:jc w:val="left"/>
        <w:rPr>
          <w:rFonts w:hint="default" w:ascii="Times New Roman" w:hAnsi="Times New Roman" w:cs="Times New Roman"/>
          <w:color w:val="auto"/>
          <w:szCs w:val="21"/>
          <w:highlight w:val="none"/>
        </w:rPr>
      </w:pP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本次</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采用综合评分法。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对满足</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按照本章第2.2款的规定的评分标准进行打分，按照得分由高到低依次推荐</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。如得分相同的，按照</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办法前附表中的规定确定</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2.2 分值构成与评审标准</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2.2.1分值构成：</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业绩</w:t>
      </w:r>
      <w:r>
        <w:rPr>
          <w:rFonts w:hint="default" w:ascii="Times New Roman" w:hAnsi="Times New Roman" w:cs="Times New Roman"/>
          <w:color w:val="auto"/>
          <w:highlight w:val="none"/>
          <w:lang w:eastAsia="zh-CN"/>
        </w:rPr>
        <w:t>：见评审办法前附表；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）项目管理机构：见评审办法前附表；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技术方案</w:t>
      </w:r>
      <w:r>
        <w:rPr>
          <w:rFonts w:hint="default" w:ascii="Times New Roman" w:hAnsi="Times New Roman" w:cs="Times New Roman"/>
          <w:color w:val="auto"/>
          <w:highlight w:val="none"/>
          <w:lang w:eastAsia="zh-CN"/>
        </w:rPr>
        <w:t>：见评审办法前附表；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评审价</w:t>
      </w:r>
      <w:r>
        <w:rPr>
          <w:rFonts w:hint="default" w:ascii="Times New Roman" w:hAnsi="Times New Roman" w:cs="Times New Roman"/>
          <w:color w:val="auto"/>
          <w:highlight w:val="none"/>
          <w:lang w:eastAsia="zh-CN"/>
        </w:rPr>
        <w:t>：见评审办法前附表。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2.2.2 </w:t>
      </w:r>
      <w:r>
        <w:rPr>
          <w:rFonts w:hint="default" w:ascii="Times New Roman" w:hAnsi="Times New Roman" w:cs="Times New Roman"/>
          <w:color w:val="auto"/>
          <w:highlight w:val="none"/>
          <w:lang w:eastAsia="zh-CN"/>
        </w:rPr>
        <w:t>评审基准价</w:t>
      </w:r>
      <w:r>
        <w:rPr>
          <w:rFonts w:hint="default" w:ascii="Times New Roman" w:hAnsi="Times New Roman" w:cs="Times New Roman"/>
          <w:color w:val="auto"/>
          <w:highlight w:val="none"/>
        </w:rPr>
        <w:t>计算</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评审基准价</w:t>
      </w:r>
      <w:r>
        <w:rPr>
          <w:rFonts w:hint="default" w:ascii="Times New Roman" w:hAnsi="Times New Roman" w:cs="Times New Roman"/>
          <w:color w:val="auto"/>
          <w:highlight w:val="none"/>
        </w:rPr>
        <w:t>计算方法：见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2.2.3 </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的偏差率计算</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的偏差率计算公式：见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2.2.4评分标准：</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业绩</w:t>
      </w:r>
      <w:r>
        <w:rPr>
          <w:rFonts w:hint="default" w:ascii="Times New Roman" w:hAnsi="Times New Roman" w:cs="Times New Roman"/>
          <w:color w:val="auto"/>
          <w:highlight w:val="none"/>
          <w:lang w:eastAsia="zh-CN"/>
        </w:rPr>
        <w:t>评分标准：见评审办法前附表；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）项目管理机构评分标准：见评审办法前附表；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技术方案</w:t>
      </w:r>
      <w:r>
        <w:rPr>
          <w:rFonts w:hint="default" w:ascii="Times New Roman" w:hAnsi="Times New Roman" w:cs="Times New Roman"/>
          <w:color w:val="auto"/>
          <w:highlight w:val="none"/>
          <w:lang w:eastAsia="zh-CN"/>
        </w:rPr>
        <w:t>评分标准：见评审办法前附表；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评审价</w:t>
      </w:r>
      <w:r>
        <w:rPr>
          <w:rFonts w:hint="default" w:ascii="Times New Roman" w:hAnsi="Times New Roman" w:cs="Times New Roman"/>
          <w:color w:val="auto"/>
          <w:highlight w:val="none"/>
          <w:lang w:eastAsia="zh-CN"/>
        </w:rPr>
        <w:t>评分标准：见评审办法前附表。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服务期</w:t>
      </w:r>
      <w:r>
        <w:rPr>
          <w:rFonts w:hint="default" w:ascii="Times New Roman" w:hAnsi="Times New Roman" w:cs="Times New Roman"/>
          <w:color w:val="auto"/>
          <w:highlight w:val="none"/>
        </w:rPr>
        <w:t>、质量标准、安全目标前后不一致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rPr>
      </w:pPr>
      <w:r>
        <w:rPr>
          <w:rFonts w:hint="eastAsia" w:ascii="Times New Roman" w:hAnsi="Times New Roman" w:cs="Times New Roman"/>
          <w:color w:val="auto"/>
          <w:highlight w:val="none"/>
          <w:lang w:val="en-US" w:eastAsia="zh-CN"/>
        </w:rPr>
        <w:t xml:space="preserve">3.1.3 </w:t>
      </w:r>
      <w:r>
        <w:rPr>
          <w:rFonts w:hint="default" w:ascii="Times New Roman" w:hAnsi="Times New Roman" w:cs="Times New Roman"/>
          <w:color w:val="auto"/>
        </w:rPr>
        <w:t>报价存在</w:t>
      </w:r>
      <w:r>
        <w:rPr>
          <w:rFonts w:hint="eastAsia" w:ascii="Times New Roman" w:hAnsi="Times New Roman" w:cs="Times New Roman"/>
          <w:color w:val="auto"/>
          <w:lang w:val="en-US" w:eastAsia="zh-CN"/>
        </w:rPr>
        <w:t>以下</w:t>
      </w:r>
      <w:r>
        <w:rPr>
          <w:rFonts w:hint="default" w:ascii="Times New Roman" w:hAnsi="Times New Roman" w:cs="Times New Roman"/>
          <w:color w:val="auto"/>
        </w:rPr>
        <w:t>细微偏差的，</w:t>
      </w:r>
      <w:r>
        <w:rPr>
          <w:rFonts w:hint="eastAsia" w:ascii="Times New Roman" w:hAnsi="Times New Roman" w:cs="Times New Roman"/>
          <w:color w:val="auto"/>
          <w:lang w:eastAsia="zh-CN"/>
        </w:rPr>
        <w:t>评审小组</w:t>
      </w:r>
      <w:r>
        <w:rPr>
          <w:rFonts w:hint="default" w:ascii="Times New Roman" w:hAnsi="Times New Roman" w:cs="Times New Roman"/>
          <w:color w:val="auto"/>
        </w:rPr>
        <w:t>按以上原则对报价进行处理，并要求</w:t>
      </w:r>
      <w:r>
        <w:rPr>
          <w:rFonts w:hint="default" w:ascii="Times New Roman" w:hAnsi="Times New Roman" w:cs="Times New Roman"/>
          <w:color w:val="auto"/>
          <w:lang w:eastAsia="zh-CN"/>
        </w:rPr>
        <w:t>供应商</w:t>
      </w:r>
      <w:r>
        <w:rPr>
          <w:rFonts w:hint="default" w:ascii="Times New Roman" w:hAnsi="Times New Roman" w:cs="Times New Roman"/>
          <w:color w:val="auto"/>
        </w:rPr>
        <w:t>书面澄清确认，</w:t>
      </w:r>
      <w:r>
        <w:rPr>
          <w:rFonts w:hint="default" w:ascii="Times New Roman" w:hAnsi="Times New Roman" w:cs="Times New Roman"/>
          <w:color w:val="auto"/>
          <w:lang w:eastAsia="zh-CN"/>
        </w:rPr>
        <w:t>供应商</w:t>
      </w:r>
      <w:r>
        <w:rPr>
          <w:rFonts w:hint="default" w:ascii="Times New Roman" w:hAnsi="Times New Roman" w:cs="Times New Roman"/>
          <w:color w:val="auto"/>
        </w:rPr>
        <w:t>拒不澄清确认的，</w:t>
      </w:r>
      <w:r>
        <w:rPr>
          <w:rFonts w:hint="eastAsia" w:ascii="Times New Roman" w:hAnsi="Times New Roman" w:cs="Times New Roman"/>
          <w:color w:val="auto"/>
          <w:lang w:eastAsia="zh-CN"/>
        </w:rPr>
        <w:t>评审小组</w:t>
      </w:r>
      <w:r>
        <w:rPr>
          <w:rFonts w:hint="default" w:ascii="Times New Roman" w:hAnsi="Times New Roman" w:cs="Times New Roman"/>
          <w:color w:val="auto"/>
        </w:rPr>
        <w:t>应当否决其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（2）报价</w:t>
      </w:r>
      <w:r>
        <w:rPr>
          <w:rFonts w:hint="default" w:ascii="Times New Roman" w:hAnsi="Times New Roman" w:cs="Times New Roman"/>
          <w:color w:val="auto"/>
          <w:highlight w:val="none"/>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③当单价与数量的乘积与合价（金额）虽然一致，但供应商修改了该子目的数量，则其合价按采购人给定的数量乘以供应商所报单价予以修正。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 xml:space="preserve">4 </w:t>
      </w:r>
      <w:r>
        <w:rPr>
          <w:rFonts w:hint="default" w:ascii="Times New Roman" w:hAnsi="Times New Roman" w:cs="Times New Roman"/>
          <w:color w:val="auto"/>
        </w:rPr>
        <w:t>修正后的最终报价若超过最高限价（如有），</w:t>
      </w:r>
      <w:r>
        <w:rPr>
          <w:rFonts w:hint="eastAsia" w:ascii="Times New Roman" w:hAnsi="Times New Roman" w:cs="Times New Roman"/>
          <w:color w:val="auto"/>
          <w:lang w:eastAsia="zh-CN"/>
        </w:rPr>
        <w:t>评审小组</w:t>
      </w:r>
      <w:r>
        <w:rPr>
          <w:rFonts w:hint="default" w:ascii="Times New Roman" w:hAnsi="Times New Roman" w:cs="Times New Roman"/>
          <w:color w:val="auto"/>
        </w:rPr>
        <w:t>应否决其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eastAsia"/>
          <w:color w:val="auto"/>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pPr>
        <w:keepNext/>
        <w:keepLines/>
        <w:spacing w:before="120" w:after="120" w:line="240" w:lineRule="auto"/>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3.2.1 </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按本章第2.2款规定的量化因素和分值进行打分，并计算出综合评估得分。</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）按本章第2.2.4(1)目规定的评审因素和分值对</w:t>
      </w:r>
      <w:r>
        <w:rPr>
          <w:rFonts w:hint="eastAsia" w:ascii="Times New Roman" w:hAnsi="Times New Roman" w:cs="Times New Roman"/>
          <w:color w:val="auto"/>
          <w:highlight w:val="none"/>
          <w:lang w:val="en-US" w:eastAsia="zh-CN"/>
        </w:rPr>
        <w:t>业绩</w:t>
      </w:r>
      <w:r>
        <w:rPr>
          <w:rFonts w:hint="default" w:ascii="Times New Roman" w:hAnsi="Times New Roman" w:cs="Times New Roman"/>
          <w:color w:val="auto"/>
          <w:highlight w:val="none"/>
          <w:lang w:eastAsia="zh-CN"/>
        </w:rPr>
        <w:t>计算出得分</w:t>
      </w:r>
      <w:r>
        <w:rPr>
          <w:rFonts w:hint="eastAsia" w:ascii="Times New Roman" w:hAnsi="Times New Roman" w:cs="Times New Roman"/>
          <w:color w:val="auto"/>
          <w:highlight w:val="none"/>
          <w:lang w:val="en-US" w:eastAsia="zh-CN"/>
        </w:rPr>
        <w:t>I</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）按本章第2.2.4(</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)目规定的评审因素和分值对</w:t>
      </w:r>
      <w:r>
        <w:rPr>
          <w:rFonts w:hint="eastAsia" w:ascii="Times New Roman" w:hAnsi="Times New Roman" w:cs="Times New Roman"/>
          <w:color w:val="auto"/>
          <w:highlight w:val="none"/>
          <w:lang w:val="en-US" w:eastAsia="zh-CN"/>
        </w:rPr>
        <w:t>技术方案</w:t>
      </w:r>
      <w:r>
        <w:rPr>
          <w:rFonts w:hint="default" w:ascii="Times New Roman" w:hAnsi="Times New Roman" w:cs="Times New Roman"/>
          <w:color w:val="auto"/>
          <w:highlight w:val="none"/>
          <w:lang w:eastAsia="zh-CN"/>
        </w:rPr>
        <w:t>计算出得分</w:t>
      </w:r>
      <w:r>
        <w:rPr>
          <w:rFonts w:hint="eastAsia" w:ascii="Times New Roman" w:hAnsi="Times New Roman" w:cs="Times New Roman"/>
          <w:color w:val="auto"/>
          <w:highlight w:val="none"/>
          <w:lang w:val="en-US" w:eastAsia="zh-CN"/>
        </w:rPr>
        <w:t>II</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）按本章第2.2.4(</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)目规定的评审因素和分值对</w:t>
      </w:r>
      <w:r>
        <w:rPr>
          <w:rFonts w:hint="eastAsia" w:ascii="Times New Roman" w:hAnsi="Times New Roman" w:cs="Times New Roman"/>
          <w:color w:val="auto"/>
          <w:highlight w:val="none"/>
          <w:lang w:val="en-US" w:eastAsia="zh-CN"/>
        </w:rPr>
        <w:t>评审价</w:t>
      </w:r>
      <w:r>
        <w:rPr>
          <w:rFonts w:hint="default" w:ascii="Times New Roman" w:hAnsi="Times New Roman" w:cs="Times New Roman"/>
          <w:color w:val="auto"/>
          <w:highlight w:val="none"/>
          <w:lang w:eastAsia="zh-CN"/>
        </w:rPr>
        <w:t>计算出得分</w:t>
      </w:r>
      <w:r>
        <w:rPr>
          <w:rFonts w:hint="eastAsia" w:ascii="Times New Roman" w:hAnsi="Times New Roman" w:cs="Times New Roman"/>
          <w:color w:val="auto"/>
          <w:highlight w:val="none"/>
          <w:lang w:val="en-US" w:eastAsia="zh-CN"/>
        </w:rPr>
        <w:t>III</w:t>
      </w:r>
      <w:r>
        <w:rPr>
          <w:rFonts w:hint="default" w:ascii="Times New Roman" w:hAnsi="Times New Roman" w:cs="Times New Roman"/>
          <w:color w:val="auto"/>
          <w:highlight w:val="none"/>
          <w:lang w:eastAsia="zh-CN"/>
        </w:rPr>
        <w:t>。</w:t>
      </w:r>
    </w:p>
    <w:p>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3.2.2 评分分值计算保留小数点后两位，小数点后第三位“四舍五入”。</w:t>
      </w:r>
    </w:p>
    <w:p>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3.2.3 </w:t>
      </w:r>
      <w:r>
        <w:rPr>
          <w:rFonts w:hint="eastAsia" w:ascii="Times New Roman" w:hAnsi="Times New Roman" w:cs="Times New Roman"/>
          <w:color w:val="auto"/>
          <w:highlight w:val="none"/>
          <w:lang w:val="en-US" w:eastAsia="zh-CN"/>
        </w:rPr>
        <w:t>评审小组成员对</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综合评分=I</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II</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III，供应商最终得分为各评审小组成员评分的算数平均值</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strike/>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lang w:eastAsia="zh-CN"/>
        </w:rPr>
        <w:t>完成评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后，应当向采购人提交评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报告。评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报告应当如实记载以下内容：</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（一）采购项目基本情况</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（二）采购过程回顾</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（三）评审小组成员名单</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（四）询比评审工作</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1、评审办法</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3、</w:t>
      </w:r>
      <w:r>
        <w:rPr>
          <w:rFonts w:hint="eastAsia" w:ascii="Times New Roman" w:hAnsi="Times New Roman" w:cs="Times New Roman"/>
          <w:color w:val="auto"/>
          <w:highlight w:val="none"/>
          <w:lang w:val="en-US" w:eastAsia="zh-CN"/>
        </w:rPr>
        <w:t>详细评审情况（</w:t>
      </w:r>
      <w:r>
        <w:rPr>
          <w:rFonts w:hint="default" w:ascii="Times New Roman" w:hAnsi="Times New Roman" w:cs="Times New Roman"/>
          <w:color w:val="auto"/>
          <w:highlight w:val="none"/>
          <w:lang w:eastAsia="zh-CN"/>
        </w:rPr>
        <w:t>供应商的</w:t>
      </w:r>
      <w:r>
        <w:rPr>
          <w:rFonts w:hint="eastAsia" w:ascii="Times New Roman" w:hAnsi="Times New Roman" w:cs="Times New Roman"/>
          <w:color w:val="auto"/>
          <w:highlight w:val="none"/>
          <w:lang w:val="en-US" w:eastAsia="zh-CN"/>
        </w:rPr>
        <w:t>综合</w:t>
      </w:r>
      <w:r>
        <w:rPr>
          <w:rFonts w:hint="default" w:ascii="Times New Roman" w:hAnsi="Times New Roman" w:cs="Times New Roman"/>
          <w:color w:val="auto"/>
          <w:highlight w:val="none"/>
          <w:lang w:eastAsia="zh-CN"/>
        </w:rPr>
        <w:t>评分情况</w:t>
      </w:r>
      <w:r>
        <w:rPr>
          <w:rFonts w:hint="eastAsia" w:ascii="Times New Roman" w:hAnsi="Times New Roman" w:cs="Times New Roman"/>
          <w:color w:val="auto"/>
          <w:highlight w:val="none"/>
          <w:lang w:val="en-US" w:eastAsia="zh-CN"/>
        </w:rPr>
        <w:t>）</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4、否决的供应商名单以及否决理由（如有）</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5、推荐候选供应商排序</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（五）需要说明的其他事项</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（六）评审附表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1、响应文件开启记录表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2、评审表格</w:t>
      </w:r>
    </w:p>
    <w:p>
      <w:pPr>
        <w:pStyle w:val="12"/>
        <w:rPr>
          <w:rFonts w:hint="default" w:asciiTheme="minorHAnsi" w:hAnsiTheme="minorHAnsi" w:cstheme="minorBidi"/>
          <w:color w:val="auto"/>
          <w:highlight w:val="none"/>
        </w:rPr>
        <w:sectPr>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rPr>
          <w:rFonts w:hint="default" w:ascii="Times New Roman" w:hAnsi="Times New Roman"/>
          <w:color w:val="auto"/>
          <w:highlight w:val="none"/>
        </w:rPr>
      </w:pPr>
    </w:p>
    <w:p>
      <w:pPr>
        <w:widowControl/>
        <w:ind w:firstLine="0" w:firstLineChars="0"/>
        <w:jc w:val="left"/>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pStyle w:val="5"/>
        <w:numPr>
          <w:ilvl w:val="0"/>
          <w:numId w:val="4"/>
        </w:numPr>
        <w:spacing w:before="240" w:after="240"/>
        <w:ind w:left="0" w:leftChars="0" w:firstLine="0" w:firstLineChars="0"/>
        <w:rPr>
          <w:rFonts w:hint="default" w:ascii="Times New Roman" w:hAnsi="Times New Roman" w:eastAsia="宋体" w:cs="Times New Roman"/>
          <w:color w:val="auto"/>
          <w:highlight w:val="none"/>
        </w:rPr>
      </w:pPr>
      <w:bookmarkStart w:id="135" w:name="_Toc13270_WPSOffice_Level1"/>
      <w:r>
        <w:rPr>
          <w:rFonts w:hint="default" w:ascii="Times New Roman" w:hAnsi="Times New Roman" w:eastAsia="宋体" w:cs="Times New Roman"/>
          <w:color w:val="auto"/>
          <w:highlight w:val="none"/>
          <w:lang w:val="en-US" w:eastAsia="zh-CN"/>
        </w:rPr>
        <w:t>合同内容</w:t>
      </w:r>
      <w:bookmarkEnd w:id="135"/>
    </w:p>
    <w:p>
      <w:pPr>
        <w:jc w:val="center"/>
        <w:rPr>
          <w:rFonts w:hint="default" w:ascii="Times New Roman" w:hAnsi="Times New Roman" w:cs="Times New Roman"/>
          <w:color w:val="auto"/>
          <w:sz w:val="28"/>
          <w:highlight w:val="none"/>
        </w:rPr>
      </w:pPr>
      <w:bookmarkStart w:id="136" w:name="_Toc447808679"/>
      <w:bookmarkStart w:id="137" w:name="_Toc12005"/>
      <w:bookmarkStart w:id="138" w:name="_Toc16698_WPSOffice_Level2"/>
      <w:r>
        <w:rPr>
          <w:rFonts w:hint="default" w:ascii="Times New Roman" w:hAnsi="Times New Roman" w:cs="Times New Roman"/>
          <w:color w:val="auto"/>
          <w:sz w:val="28"/>
          <w:highlight w:val="none"/>
        </w:rPr>
        <w:br w:type="page"/>
      </w:r>
    </w:p>
    <w:bookmarkEnd w:id="136"/>
    <w:bookmarkEnd w:id="137"/>
    <w:bookmarkEnd w:id="138"/>
    <w:p>
      <w:pPr>
        <w:rPr>
          <w:rFonts w:hint="default" w:ascii="Times New Roman" w:hAnsi="Times New Roman" w:eastAsia="宋体" w:cs="Times New Roman"/>
          <w:color w:val="auto"/>
          <w:sz w:val="24"/>
          <w:highlight w:val="none"/>
        </w:rPr>
      </w:pPr>
      <w:bookmarkStart w:id="139" w:name="_bookmark259"/>
      <w:bookmarkEnd w:id="139"/>
    </w:p>
    <w:p>
      <w:pPr>
        <w:spacing w:after="120"/>
        <w:ind w:firstLine="560" w:firstLineChars="200"/>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t>注：本合同样本仅供参考，甲乙双方可根据实际情况进行补充。</w:t>
      </w:r>
    </w:p>
    <w:p>
      <w:pPr>
        <w:snapToGrid w:val="0"/>
        <w:spacing w:line="520" w:lineRule="exact"/>
        <w:ind w:firstLine="0" w:firstLineChars="0"/>
        <w:jc w:val="center"/>
        <w:rPr>
          <w:rFonts w:ascii="Times New Roman" w:hAnsi="宋体"/>
          <w:sz w:val="24"/>
          <w:szCs w:val="24"/>
        </w:rPr>
      </w:pPr>
      <w:bookmarkStart w:id="140" w:name="_Toc30852_WPSOffice_Level1"/>
      <w:r>
        <w:rPr>
          <w:rFonts w:hint="default" w:ascii="Times New Roman" w:hAnsi="Times New Roman" w:eastAsia="宋体" w:cs="Times New Roman"/>
          <w:b/>
          <w:bCs/>
          <w:color w:val="auto"/>
          <w:kern w:val="44"/>
          <w:sz w:val="36"/>
          <w:szCs w:val="44"/>
          <w:highlight w:val="none"/>
        </w:rPr>
        <w:t>资产评估委托合同</w:t>
      </w:r>
      <w:r>
        <w:rPr>
          <w:rFonts w:hint="eastAsia" w:ascii="方正小标宋简体" w:hAnsi="方正小标宋简体" w:eastAsia="方正小标宋简体" w:cs="方正小标宋简体"/>
          <w:sz w:val="44"/>
          <w:szCs w:val="44"/>
        </w:rPr>
        <w:br w:type="textWrapping"/>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甲方（委托人）：</w:t>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住所：</w:t>
      </w:r>
    </w:p>
    <w:p>
      <w:pPr>
        <w:pStyle w:val="13"/>
        <w:snapToGrid w:val="0"/>
        <w:spacing w:line="52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法定代表人（负责人）：</w:t>
      </w:r>
    </w:p>
    <w:p>
      <w:pPr>
        <w:pStyle w:val="13"/>
        <w:snapToGrid w:val="0"/>
        <w:spacing w:line="52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 xml:space="preserve">联系人：   </w:t>
      </w:r>
      <w:r>
        <w:rPr>
          <w:rFonts w:hint="eastAsia" w:ascii="宋体" w:hAnsi="宋体" w:eastAsia="宋体" w:cs="宋体"/>
          <w:sz w:val="21"/>
          <w:szCs w:val="21"/>
          <w:lang w:eastAsia="zh-CN"/>
        </w:rPr>
        <w:t>　　</w:t>
      </w:r>
      <w:r>
        <w:rPr>
          <w:rFonts w:hint="eastAsia" w:ascii="宋体" w:hAnsi="宋体" w:eastAsia="宋体" w:cs="宋体"/>
          <w:sz w:val="21"/>
          <w:szCs w:val="21"/>
        </w:rPr>
        <w:t xml:space="preserve">   电话：     </w:t>
      </w:r>
    </w:p>
    <w:p>
      <w:pPr>
        <w:snapToGrid w:val="0"/>
        <w:spacing w:line="520" w:lineRule="exact"/>
        <w:ind w:firstLine="420" w:firstLineChars="200"/>
        <w:rPr>
          <w:rFonts w:hint="eastAsia" w:ascii="宋体" w:hAnsi="宋体" w:eastAsia="宋体" w:cs="宋体"/>
          <w:szCs w:val="21"/>
        </w:rPr>
      </w:pP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 xml:space="preserve">乙方（受托人）： </w:t>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住所：</w:t>
      </w:r>
    </w:p>
    <w:p>
      <w:pPr>
        <w:pStyle w:val="13"/>
        <w:snapToGrid w:val="0"/>
        <w:spacing w:line="52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法定代表人（负责人）：  </w:t>
      </w:r>
    </w:p>
    <w:p>
      <w:pPr>
        <w:pStyle w:val="13"/>
        <w:snapToGrid w:val="0"/>
        <w:spacing w:line="52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 xml:space="preserve">联系人：    </w:t>
      </w:r>
      <w:r>
        <w:rPr>
          <w:rFonts w:hint="eastAsia" w:ascii="宋体" w:hAnsi="宋体" w:eastAsia="宋体" w:cs="宋体"/>
          <w:sz w:val="21"/>
          <w:szCs w:val="21"/>
          <w:lang w:eastAsia="zh-CN"/>
        </w:rPr>
        <w:t>　　</w:t>
      </w:r>
      <w:r>
        <w:rPr>
          <w:rFonts w:hint="eastAsia" w:ascii="宋体" w:hAnsi="宋体" w:eastAsia="宋体" w:cs="宋体"/>
          <w:sz w:val="21"/>
          <w:szCs w:val="21"/>
        </w:rPr>
        <w:t xml:space="preserve">  电话：      </w:t>
      </w:r>
    </w:p>
    <w:p>
      <w:pPr>
        <w:pStyle w:val="13"/>
        <w:snapToGrid w:val="0"/>
        <w:spacing w:line="520" w:lineRule="exact"/>
        <w:ind w:left="0" w:firstLine="0"/>
        <w:rPr>
          <w:rFonts w:hint="eastAsia" w:ascii="宋体" w:hAnsi="宋体" w:eastAsia="宋体" w:cs="宋体"/>
          <w:sz w:val="21"/>
          <w:szCs w:val="21"/>
        </w:rPr>
      </w:pPr>
      <w:r>
        <w:rPr>
          <w:rFonts w:hint="eastAsia" w:ascii="宋体" w:hAnsi="宋体" w:eastAsia="宋体" w:cs="宋体"/>
          <w:sz w:val="21"/>
          <w:szCs w:val="21"/>
        </w:rPr>
        <w:t xml:space="preserve"> </w:t>
      </w:r>
    </w:p>
    <w:p>
      <w:pPr>
        <w:pStyle w:val="13"/>
        <w:snapToGrid w:val="0"/>
        <w:spacing w:line="52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鉴于甲方</w:t>
      </w:r>
      <w:r>
        <w:rPr>
          <w:rFonts w:hint="eastAsia" w:ascii="宋体" w:hAnsi="宋体" w:eastAsia="宋体" w:cs="宋体"/>
          <w:sz w:val="21"/>
          <w:szCs w:val="21"/>
          <w:u w:val="single"/>
          <w:lang w:eastAsia="zh-CN"/>
        </w:rPr>
        <w:t>　　　</w:t>
      </w:r>
      <w:r>
        <w:rPr>
          <w:rFonts w:hint="eastAsia" w:ascii="宋体" w:hAnsi="宋体" w:eastAsia="宋体" w:cs="宋体"/>
          <w:sz w:val="21"/>
          <w:szCs w:val="21"/>
          <w:u w:val="single"/>
        </w:rPr>
        <w:t xml:space="preserve"> </w:t>
      </w:r>
      <w:r>
        <w:rPr>
          <w:rFonts w:hint="eastAsia" w:ascii="宋体" w:hAnsi="宋体" w:eastAsia="宋体" w:cs="宋体"/>
          <w:sz w:val="21"/>
          <w:szCs w:val="21"/>
        </w:rPr>
        <w:t>，乙方接受甲方委托，对交易标的</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　　　　　　　　</w:t>
      </w:r>
      <w:r>
        <w:rPr>
          <w:rFonts w:hint="eastAsia" w:ascii="宋体" w:hAnsi="宋体" w:eastAsia="宋体" w:cs="宋体"/>
          <w:sz w:val="21"/>
          <w:szCs w:val="21"/>
          <w:u w:val="single"/>
        </w:rPr>
        <w:t xml:space="preserve"> </w:t>
      </w:r>
      <w:r>
        <w:rPr>
          <w:rFonts w:hint="eastAsia" w:ascii="宋体" w:hAnsi="宋体" w:eastAsia="宋体" w:cs="宋体"/>
          <w:iCs/>
          <w:color w:val="000000"/>
          <w:sz w:val="21"/>
          <w:szCs w:val="21"/>
        </w:rPr>
        <w:t>价值</w:t>
      </w:r>
      <w:r>
        <w:rPr>
          <w:rFonts w:hint="eastAsia" w:ascii="宋体" w:hAnsi="宋体" w:eastAsia="宋体" w:cs="宋体"/>
          <w:sz w:val="21"/>
          <w:szCs w:val="21"/>
        </w:rPr>
        <w:t>进行评定估算。</w:t>
      </w:r>
      <w:r>
        <w:rPr>
          <w:rFonts w:hint="eastAsia" w:ascii="宋体" w:hAnsi="宋体" w:eastAsia="宋体" w:cs="宋体"/>
          <w:kern w:val="0"/>
          <w:sz w:val="21"/>
          <w:szCs w:val="21"/>
        </w:rPr>
        <w:t>甲、乙双方经友好协商，</w:t>
      </w:r>
      <w:r>
        <w:rPr>
          <w:rFonts w:hint="eastAsia" w:ascii="宋体" w:hAnsi="宋体" w:eastAsia="宋体" w:cs="宋体"/>
          <w:sz w:val="21"/>
          <w:szCs w:val="21"/>
        </w:rPr>
        <w:t>根据《中华人民共和国民法典》等有关规定，为明确资产评估业务基本事项，约定双方权利、义务、违约责任和争议解决等内容，签定本合同。</w:t>
      </w:r>
    </w:p>
    <w:p>
      <w:pPr>
        <w:snapToGrid w:val="0"/>
        <w:spacing w:line="520" w:lineRule="exact"/>
        <w:ind w:firstLine="493" w:firstLineChars="235"/>
        <w:rPr>
          <w:rFonts w:hint="eastAsia" w:ascii="宋体" w:hAnsi="宋体" w:eastAsia="宋体" w:cs="宋体"/>
          <w:b/>
          <w:szCs w:val="21"/>
        </w:rPr>
      </w:pPr>
      <w:r>
        <w:rPr>
          <w:rFonts w:hint="eastAsia" w:ascii="宋体" w:hAnsi="宋体" w:eastAsia="宋体" w:cs="宋体"/>
          <w:b/>
          <w:szCs w:val="21"/>
        </w:rPr>
        <w:t>1.评估目的、评估对象及范围、评估基准日</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1.1评估目的：对</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iCs/>
          <w:color w:val="000000"/>
          <w:sz w:val="21"/>
          <w:szCs w:val="21"/>
          <w:u w:val="single"/>
        </w:rPr>
        <w:t xml:space="preserve">  </w:t>
      </w:r>
      <w:r>
        <w:rPr>
          <w:rFonts w:hint="eastAsia" w:ascii="宋体" w:hAnsi="宋体" w:eastAsia="宋体" w:cs="宋体"/>
          <w:sz w:val="21"/>
          <w:szCs w:val="21"/>
        </w:rPr>
        <w:t>在评估基准日的市场价值进行评定和估算，为甲方上述交易提供价值参考。</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1.2评估对象及范围：</w:t>
      </w:r>
    </w:p>
    <w:p>
      <w:pPr>
        <w:snapToGrid w:val="0"/>
        <w:spacing w:line="520" w:lineRule="exact"/>
        <w:ind w:firstLine="493" w:firstLineChars="235"/>
        <w:rPr>
          <w:rFonts w:hint="eastAsia" w:ascii="宋体" w:hAnsi="宋体" w:eastAsia="宋体" w:cs="宋体"/>
          <w:szCs w:val="21"/>
        </w:rPr>
      </w:pPr>
      <w:r>
        <w:rPr>
          <w:rFonts w:hint="eastAsia" w:ascii="宋体" w:hAnsi="宋体" w:eastAsia="宋体" w:cs="宋体"/>
          <w:szCs w:val="21"/>
        </w:rPr>
        <w:t xml:space="preserve">乙方经与甲乙双方进行沟通，根据资产评估项目的要求和特点，本项目评估对象确定为: </w:t>
      </w:r>
      <w:r>
        <w:rPr>
          <w:rFonts w:hint="eastAsia" w:ascii="宋体" w:hAnsi="宋体" w:eastAsia="宋体" w:cs="宋体"/>
          <w:szCs w:val="21"/>
          <w:u w:val="none"/>
          <w:lang w:eastAsia="zh-CN"/>
        </w:rPr>
        <w:t>安徽省池州杰达汽车运输股份有限公司全部股东权益</w:t>
      </w:r>
      <w:r>
        <w:rPr>
          <w:rFonts w:hint="eastAsia" w:ascii="宋体" w:hAnsi="宋体" w:eastAsia="宋体" w:cs="宋体"/>
          <w:iCs w:val="0"/>
          <w:color w:val="auto"/>
          <w:szCs w:val="21"/>
          <w:u w:val="none"/>
        </w:rPr>
        <w:t xml:space="preserve">  </w:t>
      </w:r>
      <w:r>
        <w:rPr>
          <w:rFonts w:hint="eastAsia" w:ascii="宋体" w:hAnsi="宋体" w:eastAsia="宋体" w:cs="宋体"/>
          <w:iCs w:val="0"/>
          <w:color w:val="auto"/>
          <w:szCs w:val="21"/>
        </w:rPr>
        <w:t>。</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本项目评估范围为：</w:t>
      </w:r>
      <w:r>
        <w:rPr>
          <w:rFonts w:hint="eastAsia" w:ascii="宋体" w:hAnsi="宋体" w:eastAsia="宋体" w:cs="宋体"/>
          <w:sz w:val="21"/>
          <w:szCs w:val="21"/>
          <w:u w:val="single"/>
          <w:lang w:eastAsia="zh-CN"/>
        </w:rPr>
        <w:t>　　　　　　　　</w:t>
      </w:r>
      <w:r>
        <w:rPr>
          <w:rFonts w:hint="eastAsia" w:ascii="宋体" w:hAnsi="宋体" w:eastAsia="宋体" w:cs="宋体"/>
          <w:iCs/>
          <w:color w:val="000000"/>
          <w:sz w:val="21"/>
          <w:szCs w:val="21"/>
          <w:u w:val="single"/>
        </w:rPr>
        <w:t xml:space="preserve"> </w:t>
      </w:r>
      <w:r>
        <w:rPr>
          <w:rFonts w:hint="eastAsia" w:ascii="宋体" w:hAnsi="宋体" w:eastAsia="宋体" w:cs="宋体"/>
          <w:sz w:val="21"/>
          <w:szCs w:val="21"/>
        </w:rPr>
        <w:t>。</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1.3评估基准日：本次评估基准日为</w:t>
      </w:r>
      <w:r>
        <w:rPr>
          <w:rFonts w:hint="eastAsia" w:ascii="宋体" w:hAnsi="宋体" w:eastAsia="宋体" w:cs="宋体"/>
          <w:sz w:val="21"/>
          <w:szCs w:val="21"/>
          <w:u w:val="single"/>
          <w:lang w:eastAsia="zh-CN"/>
        </w:rPr>
        <w:t>　　</w:t>
      </w:r>
      <w:r>
        <w:rPr>
          <w:rFonts w:hint="eastAsia" w:ascii="宋体" w:hAnsi="宋体" w:eastAsia="宋体" w:cs="宋体"/>
          <w:sz w:val="21"/>
          <w:szCs w:val="21"/>
          <w:u w:val="single"/>
          <w:lang w:val="en-US" w:eastAsia="zh-CN"/>
        </w:rPr>
        <w:t>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w:t>
      </w:r>
      <w:r>
        <w:rPr>
          <w:rFonts w:hint="eastAsia" w:ascii="宋体" w:hAnsi="宋体" w:eastAsia="宋体" w:cs="宋体"/>
          <w:sz w:val="21"/>
          <w:szCs w:val="21"/>
        </w:rPr>
        <w:t>日。</w:t>
      </w:r>
    </w:p>
    <w:p>
      <w:pPr>
        <w:snapToGrid w:val="0"/>
        <w:spacing w:line="520" w:lineRule="exact"/>
        <w:ind w:firstLine="493" w:firstLineChars="235"/>
        <w:rPr>
          <w:rFonts w:hint="eastAsia" w:ascii="宋体" w:hAnsi="宋体" w:eastAsia="宋体" w:cs="宋体"/>
          <w:b/>
          <w:szCs w:val="21"/>
        </w:rPr>
      </w:pPr>
      <w:r>
        <w:rPr>
          <w:rFonts w:hint="eastAsia" w:ascii="宋体" w:hAnsi="宋体" w:eastAsia="宋体" w:cs="宋体"/>
          <w:b/>
          <w:szCs w:val="21"/>
        </w:rPr>
        <w:t>2.资产评估报告使用范围：</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本项目评估报告使用人为甲方，资产评估报告仅供本合同约定的和法律、行政法规规定的其他使用人使用，除此之外，其他任何机构和个人不能成为资产评估报告的使用人。</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2.1甲方或者其他资产评估报告使用人应当按照法律、行政法规规定和资产评估报告载明的使用目的及用途使用资产评估报告。</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2.2甲方或者其他资产评估报告使用人违反上述约定使用资产评估报告的，资产评估机构及其资产评估专业人员不承担责任。</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2.3除追溯评估等特殊情况外，资产评估结论使用有效期自评估基准日起一年内有效，甲方或者其他资产评估报告使用人应当在载明的评估结论使用有效期内使用资产评估报告。</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2.4未经甲方书面许可，乙方及其资产评估专业人员不得将资产评估报告的内容向第三方提供或者公开，法律、行政法规另有规定的除外。</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2.5未征得乙方同意，资产评估报告的内容不得被披露于公开媒体，法律、行政法规规定以及相关当事人另有约定的除外。</w:t>
      </w:r>
    </w:p>
    <w:p>
      <w:pPr>
        <w:snapToGrid w:val="0"/>
        <w:spacing w:line="520" w:lineRule="exact"/>
        <w:ind w:firstLine="493" w:firstLineChars="235"/>
        <w:rPr>
          <w:rFonts w:hint="eastAsia" w:ascii="宋体" w:hAnsi="宋体" w:eastAsia="宋体" w:cs="宋体"/>
          <w:b/>
          <w:szCs w:val="21"/>
        </w:rPr>
      </w:pPr>
      <w:r>
        <w:rPr>
          <w:rFonts w:hint="eastAsia" w:ascii="宋体" w:hAnsi="宋体" w:eastAsia="宋体" w:cs="宋体"/>
          <w:b/>
          <w:szCs w:val="21"/>
        </w:rPr>
        <w:t>3.提交资产评估报告的期限和方式</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乙方应于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w:t>
      </w:r>
      <w:r>
        <w:rPr>
          <w:rFonts w:hint="eastAsia" w:ascii="宋体" w:hAnsi="宋体" w:eastAsia="宋体" w:cs="宋体"/>
          <w:sz w:val="21"/>
          <w:szCs w:val="21"/>
        </w:rPr>
        <w:t>日前向甲方出具资产评估报告（初稿）,经甲方审核或经安徽省国资委批准（如需要）同意后，按照甲方要求提交资产评估报告（正式稿）一式</w:t>
      </w:r>
      <w:r>
        <w:rPr>
          <w:rFonts w:hint="eastAsia" w:ascii="宋体" w:hAnsi="宋体" w:eastAsia="宋体" w:cs="宋体"/>
          <w:sz w:val="21"/>
          <w:szCs w:val="21"/>
          <w:u w:val="single"/>
          <w:lang w:eastAsia="zh-CN"/>
        </w:rPr>
        <w:t>　</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r>
        <w:rPr>
          <w:rFonts w:hint="eastAsia" w:ascii="宋体" w:hAnsi="宋体" w:eastAsia="宋体" w:cs="宋体"/>
          <w:sz w:val="21"/>
          <w:szCs w:val="21"/>
          <w:highlight w:val="none"/>
        </w:rPr>
        <w:t>乙方向甲方提交正式资产评估报告的期限不得迟于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w:t>
      </w:r>
      <w:r>
        <w:rPr>
          <w:rFonts w:hint="eastAsia" w:ascii="宋体" w:hAnsi="宋体" w:eastAsia="宋体" w:cs="宋体"/>
          <w:sz w:val="21"/>
          <w:szCs w:val="21"/>
          <w:highlight w:val="none"/>
        </w:rPr>
        <w:t>日。</w:t>
      </w:r>
    </w:p>
    <w:p>
      <w:pPr>
        <w:snapToGrid w:val="0"/>
        <w:spacing w:line="520" w:lineRule="exact"/>
        <w:ind w:firstLine="420" w:firstLineChars="200"/>
        <w:rPr>
          <w:rFonts w:hint="eastAsia" w:ascii="宋体" w:hAnsi="宋体" w:eastAsia="宋体" w:cs="宋体"/>
          <w:b/>
          <w:szCs w:val="21"/>
        </w:rPr>
      </w:pPr>
      <w:r>
        <w:rPr>
          <w:rFonts w:hint="eastAsia" w:ascii="宋体" w:hAnsi="宋体" w:eastAsia="宋体" w:cs="宋体"/>
          <w:b/>
          <w:szCs w:val="21"/>
        </w:rPr>
        <w:t>4.评估费用及支付方式</w:t>
      </w:r>
    </w:p>
    <w:p>
      <w:pPr>
        <w:snapToGrid w:val="0"/>
        <w:spacing w:line="520" w:lineRule="exact"/>
        <w:ind w:firstLine="420" w:firstLineChars="200"/>
        <w:rPr>
          <w:rFonts w:hint="eastAsia" w:ascii="宋体" w:hAnsi="宋体" w:eastAsia="宋体" w:cs="宋体"/>
          <w:kern w:val="0"/>
          <w:szCs w:val="21"/>
        </w:rPr>
      </w:pPr>
      <w:r>
        <w:rPr>
          <w:rFonts w:hint="eastAsia" w:ascii="宋体" w:hAnsi="宋体" w:eastAsia="宋体" w:cs="宋体"/>
          <w:szCs w:val="21"/>
        </w:rPr>
        <w:t>4.1评估费用：本项目评估费用总额为人民币</w:t>
      </w:r>
      <w:r>
        <w:rPr>
          <w:rFonts w:hint="eastAsia" w:ascii="宋体" w:hAnsi="宋体" w:eastAsia="宋体" w:cs="宋体"/>
          <w:szCs w:val="21"/>
          <w:u w:val="single"/>
          <w:lang w:eastAsia="zh-CN"/>
        </w:rPr>
        <w:t>　　　　</w:t>
      </w:r>
      <w:r>
        <w:rPr>
          <w:rFonts w:hint="eastAsia" w:ascii="宋体" w:hAnsi="宋体" w:eastAsia="宋体" w:cs="宋体"/>
          <w:szCs w:val="21"/>
        </w:rPr>
        <w:t>元整（</w:t>
      </w:r>
      <w:r>
        <w:rPr>
          <w:rFonts w:hint="eastAsia" w:ascii="宋体" w:hAnsi="宋体" w:eastAsia="宋体" w:cs="宋体"/>
          <w:kern w:val="0"/>
          <w:szCs w:val="21"/>
        </w:rPr>
        <w:t>小写：</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rPr>
        <w:t>此费用包括乙方为完成本合同项下资产评估服务所支出的人员工资、食宿费、差旅费、办公费、保险费、综合管理费、利润、所有应由乙方缴纳的税费等一切费用。</w:t>
      </w:r>
    </w:p>
    <w:p>
      <w:pPr>
        <w:snapToGrid w:val="0"/>
        <w:spacing w:line="520" w:lineRule="exact"/>
        <w:ind w:firstLine="493" w:firstLineChars="235"/>
        <w:rPr>
          <w:rFonts w:hint="eastAsia" w:ascii="宋体" w:hAnsi="宋体" w:eastAsia="宋体" w:cs="宋体"/>
          <w:kern w:val="0"/>
          <w:szCs w:val="21"/>
        </w:rPr>
      </w:pPr>
      <w:r>
        <w:rPr>
          <w:rFonts w:hint="eastAsia" w:ascii="宋体" w:hAnsi="宋体" w:eastAsia="宋体" w:cs="宋体"/>
          <w:kern w:val="0"/>
          <w:szCs w:val="21"/>
        </w:rPr>
        <w:t>4.2支付方式：</w:t>
      </w:r>
      <w:r>
        <w:rPr>
          <w:rFonts w:hint="eastAsia" w:ascii="宋体" w:hAnsi="宋体" w:eastAsia="宋体" w:cs="宋体"/>
          <w:kern w:val="0"/>
          <w:szCs w:val="21"/>
          <w:u w:val="single"/>
          <w:lang w:eastAsia="zh-CN"/>
        </w:rPr>
        <w:t>　　　　　　　</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snapToGrid w:val="0"/>
        <w:spacing w:line="520" w:lineRule="exact"/>
        <w:ind w:firstLine="493" w:firstLineChars="235"/>
        <w:rPr>
          <w:rFonts w:hint="eastAsia" w:ascii="宋体" w:hAnsi="宋体" w:eastAsia="宋体" w:cs="宋体"/>
          <w:szCs w:val="21"/>
        </w:rPr>
      </w:pPr>
      <w:r>
        <w:rPr>
          <w:rFonts w:hint="eastAsia" w:ascii="宋体" w:hAnsi="宋体" w:eastAsia="宋体" w:cs="宋体"/>
          <w:kern w:val="0"/>
          <w:szCs w:val="21"/>
        </w:rPr>
        <w:t>4.3在甲方向乙方付款前，乙方应向甲方开具符合要求的增值税专用发票，因乙方未及时提供上述发票而造成甲方付款延迟的，不视为甲方违约。</w:t>
      </w:r>
    </w:p>
    <w:p>
      <w:pPr>
        <w:snapToGrid w:val="0"/>
        <w:spacing w:line="520" w:lineRule="exact"/>
        <w:ind w:firstLine="493" w:firstLineChars="235"/>
        <w:rPr>
          <w:rFonts w:hint="eastAsia" w:ascii="宋体" w:hAnsi="宋体" w:eastAsia="宋体" w:cs="宋体"/>
          <w:b/>
          <w:szCs w:val="21"/>
        </w:rPr>
      </w:pPr>
      <w:r>
        <w:rPr>
          <w:rFonts w:hint="eastAsia" w:ascii="宋体" w:hAnsi="宋体" w:eastAsia="宋体" w:cs="宋体"/>
          <w:b/>
          <w:szCs w:val="21"/>
        </w:rPr>
        <w:t>5.甲方的责任和义务</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5.1甲方应当根据资产评估业务需要，负责乙方及其资产评估专业人员与其他相关当事人之间的协调。甲方应按本合同约定的评估费标准和支付方式，及时足额支付评估费用。甲方和其他相关当事人应恰当使用资产评估报告。</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5.2甲方应当依法提供资产评估业务需要的资料并保证资料的真实性、完整性、合法性。甲方应当为乙方及其资产评估专业人员开展资产评估业务提供必要的工作条件和协助；甲方和其他相关当事人应当对其提供的资产评估明细表及其他重要资料的真实性、完整性、合法性进行确认，确认方式包括签字、盖章或者法律允许的其他方式。</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5.3本合同规定的其他责任和义务。</w:t>
      </w:r>
    </w:p>
    <w:p>
      <w:pPr>
        <w:snapToGrid w:val="0"/>
        <w:spacing w:line="520" w:lineRule="exact"/>
        <w:ind w:firstLine="493" w:firstLineChars="235"/>
        <w:rPr>
          <w:rFonts w:hint="eastAsia" w:ascii="宋体" w:hAnsi="宋体" w:eastAsia="宋体" w:cs="宋体"/>
          <w:b/>
          <w:szCs w:val="21"/>
        </w:rPr>
      </w:pPr>
      <w:r>
        <w:rPr>
          <w:rFonts w:hint="eastAsia" w:ascii="宋体" w:hAnsi="宋体" w:eastAsia="宋体" w:cs="宋体"/>
          <w:b/>
          <w:szCs w:val="21"/>
        </w:rPr>
        <w:t>6.乙方的责任和义务</w:t>
      </w:r>
    </w:p>
    <w:p>
      <w:pPr>
        <w:autoSpaceDE w:val="0"/>
        <w:autoSpaceDN w:val="0"/>
        <w:adjustRightInd w:val="0"/>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6.1遵守相关法律、法规和资产评估准则，对评估对象在评估基准日约定目的下的价值进行分析、估算并出具资产评估报告，是乙方及其本项目评估专业人员的责任。</w:t>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6.2乙方应指派专业胜任的人员处理甲乙双方委托事项，按照行业公认的业务标准和道德规范，勤勉尽责地为甲乙双方提供高效、优质的资产评估服务。</w:t>
      </w:r>
      <w:r>
        <w:rPr>
          <w:rFonts w:hint="eastAsia" w:ascii="宋体" w:hAnsi="宋体" w:eastAsia="宋体" w:cs="宋体"/>
          <w:kern w:val="0"/>
          <w:szCs w:val="21"/>
        </w:rPr>
        <w:t>乙方应随时接受甲方对资产评估事项、资产评估报告提出的咨询并及时给予反馈意见。</w:t>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6.3按本合同规定的时间和要求完成本合同项下的资产评估工作，并向甲方提交正式的资产评估报告。</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6.4配合并协助甲方完成中国法律要求的资产评估相关的报备事项，负责对资产评估报告核准或备案的主管部门提出的审核意见做出解释和修改。</w:t>
      </w:r>
    </w:p>
    <w:p>
      <w:pPr>
        <w:snapToGrid w:val="0"/>
        <w:spacing w:line="520" w:lineRule="exact"/>
        <w:ind w:firstLine="480"/>
        <w:rPr>
          <w:rFonts w:hint="eastAsia" w:ascii="宋体" w:hAnsi="宋体" w:eastAsia="宋体" w:cs="宋体"/>
          <w:szCs w:val="21"/>
        </w:rPr>
      </w:pPr>
      <w:r>
        <w:rPr>
          <w:rFonts w:hint="eastAsia" w:ascii="宋体" w:hAnsi="宋体" w:eastAsia="宋体" w:cs="宋体"/>
          <w:szCs w:val="21"/>
        </w:rPr>
        <w:t>6.5乙方及本项目评估专业人员对在资产评估过程中知悉的甲方、</w:t>
      </w:r>
      <w:r>
        <w:rPr>
          <w:rFonts w:hint="eastAsia" w:ascii="宋体" w:hAnsi="宋体" w:eastAsia="宋体" w:cs="宋体"/>
          <w:kern w:val="0"/>
          <w:szCs w:val="21"/>
        </w:rPr>
        <w:t>甲方关联企</w:t>
      </w:r>
      <w:r>
        <w:rPr>
          <w:rFonts w:hint="eastAsia" w:ascii="宋体" w:hAnsi="宋体" w:eastAsia="宋体" w:cs="宋体"/>
          <w:szCs w:val="21"/>
        </w:rPr>
        <w:t>业及被评估单位的信息予以保密，乙方本项保密义务不因本合同权利义务终止而解除，但是法律、行政</w:t>
      </w:r>
      <w:r>
        <w:rPr>
          <w:rFonts w:hint="eastAsia" w:ascii="宋体" w:hAnsi="宋体" w:eastAsia="宋体" w:cs="宋体"/>
          <w:kern w:val="0"/>
          <w:szCs w:val="21"/>
        </w:rPr>
        <w:t>法规另有规定的除外</w:t>
      </w:r>
      <w:r>
        <w:rPr>
          <w:rFonts w:hint="eastAsia" w:ascii="宋体" w:hAnsi="宋体" w:eastAsia="宋体" w:cs="宋体"/>
          <w:szCs w:val="21"/>
        </w:rPr>
        <w:t>。</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6.6未经甲方书面许可，乙方及本项目评估专业人员不得将资产评估报告书及工作底稿的内容向第三方提供或者公开，但是国家法律、法规另有规定的除外。</w:t>
      </w:r>
    </w:p>
    <w:p>
      <w:pPr>
        <w:pStyle w:val="13"/>
        <w:snapToGrid w:val="0"/>
        <w:spacing w:line="520" w:lineRule="exact"/>
        <w:ind w:left="0" w:firstLine="493" w:firstLineChars="235"/>
        <w:rPr>
          <w:rFonts w:hint="eastAsia" w:ascii="宋体" w:hAnsi="宋体" w:eastAsia="宋体" w:cs="宋体"/>
          <w:kern w:val="0"/>
          <w:sz w:val="21"/>
          <w:szCs w:val="21"/>
        </w:rPr>
      </w:pPr>
      <w:r>
        <w:rPr>
          <w:rFonts w:hint="eastAsia" w:ascii="宋体" w:hAnsi="宋体" w:eastAsia="宋体" w:cs="宋体"/>
          <w:sz w:val="21"/>
          <w:szCs w:val="21"/>
        </w:rPr>
        <w:t>6.7</w:t>
      </w:r>
      <w:r>
        <w:rPr>
          <w:rFonts w:hint="eastAsia" w:ascii="宋体" w:hAnsi="宋体" w:eastAsia="宋体" w:cs="宋体"/>
          <w:kern w:val="0"/>
          <w:sz w:val="21"/>
          <w:szCs w:val="21"/>
        </w:rPr>
        <w:t>乙方不得将本合同项下义务全部或部分转移给第三人。</w:t>
      </w:r>
    </w:p>
    <w:p>
      <w:pPr>
        <w:snapToGrid w:val="0"/>
        <w:spacing w:line="520" w:lineRule="exact"/>
        <w:ind w:firstLine="540"/>
        <w:rPr>
          <w:rFonts w:hint="eastAsia" w:ascii="宋体" w:hAnsi="宋体" w:eastAsia="宋体" w:cs="宋体"/>
          <w:kern w:val="0"/>
          <w:szCs w:val="21"/>
        </w:rPr>
      </w:pPr>
      <w:r>
        <w:rPr>
          <w:rFonts w:hint="eastAsia" w:ascii="宋体" w:hAnsi="宋体" w:eastAsia="宋体" w:cs="宋体"/>
          <w:kern w:val="0"/>
          <w:szCs w:val="21"/>
        </w:rPr>
        <w:t>6.8乙方</w:t>
      </w:r>
      <w:r>
        <w:rPr>
          <w:rFonts w:hint="eastAsia" w:ascii="宋体" w:hAnsi="宋体" w:eastAsia="宋体" w:cs="宋体"/>
          <w:bCs/>
          <w:szCs w:val="21"/>
        </w:rPr>
        <w:t>应严格遵守廉政纪律要求，不得接受被评估单位馈赠的任何形式的礼金、有价证券和物品等。</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6.9本合同规定的其他责任和义务。</w:t>
      </w:r>
    </w:p>
    <w:p>
      <w:pPr>
        <w:snapToGrid w:val="0"/>
        <w:spacing w:line="520" w:lineRule="exact"/>
        <w:ind w:firstLine="493" w:firstLineChars="235"/>
        <w:rPr>
          <w:rFonts w:hint="eastAsia" w:ascii="宋体" w:hAnsi="宋体" w:eastAsia="宋体" w:cs="宋体"/>
          <w:b/>
          <w:szCs w:val="21"/>
        </w:rPr>
      </w:pPr>
      <w:r>
        <w:rPr>
          <w:rFonts w:hint="eastAsia" w:ascii="宋体" w:hAnsi="宋体" w:eastAsia="宋体" w:cs="宋体"/>
          <w:b/>
          <w:szCs w:val="21"/>
        </w:rPr>
        <w:t>7.约定事项的变更和终止</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7.1非因乙方原因，甲方提前终止资产评估业务,解除本合同的，甲方应当按照乙方已经开展资产评估业务的时间、进度，或者已经完成的工作量支付相应的评估服务费。</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7.2因甲方原因，乙方解除本合同的，甲方应当按照乙方已经开展资产评估业务的时间、进度，或者已经完成的工作量支付相应的评估服务费。</w:t>
      </w:r>
    </w:p>
    <w:p>
      <w:pPr>
        <w:pStyle w:val="13"/>
        <w:snapToGrid w:val="0"/>
        <w:spacing w:line="520" w:lineRule="exact"/>
        <w:ind w:left="0" w:firstLine="493" w:firstLineChars="235"/>
        <w:rPr>
          <w:rFonts w:hint="eastAsia" w:ascii="宋体" w:hAnsi="宋体" w:eastAsia="宋体" w:cs="宋体"/>
          <w:kern w:val="0"/>
          <w:sz w:val="21"/>
          <w:szCs w:val="21"/>
        </w:rPr>
      </w:pPr>
      <w:r>
        <w:rPr>
          <w:rFonts w:hint="eastAsia" w:ascii="宋体" w:hAnsi="宋体" w:eastAsia="宋体" w:cs="宋体"/>
          <w:sz w:val="21"/>
          <w:szCs w:val="21"/>
        </w:rPr>
        <w:t>7.3由于出现不可预见情况，影响资产评估工作如期完成，</w:t>
      </w:r>
      <w:r>
        <w:rPr>
          <w:rFonts w:hint="eastAsia" w:ascii="宋体" w:hAnsi="宋体" w:eastAsia="宋体" w:cs="宋体"/>
          <w:kern w:val="0"/>
          <w:sz w:val="21"/>
          <w:szCs w:val="21"/>
        </w:rPr>
        <w:t>任何一方均可要求变更约定事项，但应及时通知其他两方，并由各方协商解决。</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kern w:val="0"/>
          <w:sz w:val="21"/>
          <w:szCs w:val="21"/>
        </w:rPr>
        <w:t>7.4任何补充性合同文件均需双方法定代表人（负责人）或其授权的代理人签名，并加盖各自单位公章后方为有效</w:t>
      </w:r>
      <w:r>
        <w:rPr>
          <w:rFonts w:hint="eastAsia" w:ascii="宋体" w:hAnsi="宋体" w:eastAsia="宋体" w:cs="宋体"/>
          <w:sz w:val="21"/>
          <w:szCs w:val="21"/>
        </w:rPr>
        <w:t>。</w:t>
      </w:r>
    </w:p>
    <w:p>
      <w:pPr>
        <w:snapToGrid w:val="0"/>
        <w:spacing w:line="520" w:lineRule="exact"/>
        <w:ind w:firstLine="420" w:firstLineChars="200"/>
        <w:rPr>
          <w:rFonts w:hint="eastAsia" w:ascii="宋体" w:hAnsi="宋体" w:eastAsia="宋体" w:cs="宋体"/>
          <w:b/>
          <w:szCs w:val="21"/>
        </w:rPr>
      </w:pPr>
      <w:r>
        <w:rPr>
          <w:rFonts w:hint="eastAsia" w:ascii="宋体" w:hAnsi="宋体" w:eastAsia="宋体" w:cs="宋体"/>
          <w:b/>
          <w:szCs w:val="21"/>
        </w:rPr>
        <w:t>8.违约责任及争议解决</w:t>
      </w:r>
    </w:p>
    <w:p>
      <w:pPr>
        <w:autoSpaceDE w:val="0"/>
        <w:autoSpaceDN w:val="0"/>
        <w:adjustRightInd w:val="0"/>
        <w:snapToGrid w:val="0"/>
        <w:spacing w:line="520" w:lineRule="exact"/>
        <w:ind w:left="2" w:leftChars="1" w:firstLine="420" w:firstLineChars="200"/>
        <w:rPr>
          <w:rFonts w:hint="eastAsia" w:ascii="宋体" w:hAnsi="宋体" w:eastAsia="宋体" w:cs="宋体"/>
          <w:szCs w:val="21"/>
        </w:rPr>
      </w:pPr>
      <w:r>
        <w:rPr>
          <w:rFonts w:hint="eastAsia" w:ascii="宋体" w:hAnsi="宋体" w:eastAsia="宋体" w:cs="宋体"/>
          <w:szCs w:val="21"/>
        </w:rPr>
        <w:t>8.1违约责任</w:t>
      </w:r>
    </w:p>
    <w:p>
      <w:pPr>
        <w:snapToGrid w:val="0"/>
        <w:spacing w:line="520" w:lineRule="exact"/>
        <w:ind w:firstLine="420" w:firstLineChars="200"/>
        <w:rPr>
          <w:rFonts w:hint="eastAsia" w:ascii="宋体" w:hAnsi="宋体" w:eastAsia="宋体" w:cs="宋体"/>
          <w:szCs w:val="21"/>
          <w:lang w:bidi="ar"/>
        </w:rPr>
      </w:pPr>
      <w:r>
        <w:rPr>
          <w:rFonts w:hint="eastAsia" w:ascii="宋体" w:hAnsi="宋体" w:eastAsia="宋体" w:cs="宋体"/>
          <w:szCs w:val="21"/>
          <w:lang w:bidi="ar"/>
        </w:rPr>
        <w:t>8.1.1除本合同另有规定外，如甲方逾期支付评估费用超过7天，则乙方有权单方解除本合同，并向甲方追索其应付费用。</w:t>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lang w:bidi="ar"/>
        </w:rPr>
        <w:t>8.1.2如乙方违反本合同项下义务，则甲方有权单方解除本合同，不向乙方支付任何评估费用，并要求乙方赔偿因此给甲方造成的实际经济损失</w:t>
      </w:r>
      <w:r>
        <w:rPr>
          <w:rFonts w:hint="eastAsia" w:ascii="宋体" w:hAnsi="宋体" w:eastAsia="宋体" w:cs="宋体"/>
          <w:szCs w:val="21"/>
        </w:rPr>
        <w:t>。</w:t>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8.2合同当事方由于不可抗力的原因不能履行合同时，应及时向其他合同当事方通报不能履行或不能完全履行的理由，以减轻可能造成的损失，且互不承担因不可抗力造成的损失，但是不积极采取措施的除外。</w:t>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8.3本合同未尽事宜由各方协商解决，当发生争议且协商不成时，由甲方所在地人民法院管辖。</w:t>
      </w:r>
    </w:p>
    <w:p>
      <w:pPr>
        <w:snapToGrid w:val="0"/>
        <w:spacing w:line="520" w:lineRule="exact"/>
        <w:ind w:firstLine="493" w:firstLineChars="235"/>
        <w:rPr>
          <w:rFonts w:hint="eastAsia" w:ascii="宋体" w:hAnsi="宋体" w:eastAsia="宋体" w:cs="宋体"/>
          <w:b/>
          <w:szCs w:val="21"/>
        </w:rPr>
      </w:pPr>
      <w:r>
        <w:rPr>
          <w:rFonts w:hint="eastAsia" w:ascii="宋体" w:hAnsi="宋体" w:eastAsia="宋体" w:cs="宋体"/>
          <w:b/>
          <w:szCs w:val="21"/>
        </w:rPr>
        <w:t>9.其他事项</w:t>
      </w:r>
    </w:p>
    <w:p>
      <w:pPr>
        <w:pStyle w:val="13"/>
        <w:snapToGrid w:val="0"/>
        <w:spacing w:line="520" w:lineRule="exact"/>
        <w:ind w:left="0" w:firstLine="493" w:firstLineChars="235"/>
        <w:rPr>
          <w:rFonts w:hint="eastAsia" w:ascii="宋体" w:hAnsi="宋体" w:eastAsia="宋体" w:cs="宋体"/>
          <w:sz w:val="21"/>
          <w:szCs w:val="21"/>
        </w:rPr>
      </w:pPr>
      <w:r>
        <w:rPr>
          <w:rFonts w:hint="eastAsia" w:ascii="宋体" w:hAnsi="宋体" w:eastAsia="宋体" w:cs="宋体"/>
          <w:sz w:val="21"/>
          <w:szCs w:val="21"/>
        </w:rPr>
        <w:t>9.1本合同签约地点为</w:t>
      </w:r>
      <w:r>
        <w:rPr>
          <w:rFonts w:hint="eastAsia" w:ascii="宋体" w:hAnsi="宋体" w:eastAsia="宋体" w:cs="宋体"/>
          <w:sz w:val="21"/>
          <w:szCs w:val="21"/>
          <w:u w:val="single"/>
          <w:lang w:eastAsia="zh-CN"/>
        </w:rPr>
        <w:t>　　　</w:t>
      </w:r>
      <w:r>
        <w:rPr>
          <w:rFonts w:hint="eastAsia" w:ascii="宋体" w:hAnsi="宋体" w:eastAsia="宋体" w:cs="宋体"/>
          <w:sz w:val="21"/>
          <w:szCs w:val="21"/>
        </w:rPr>
        <w:t>。</w:t>
      </w:r>
    </w:p>
    <w:p>
      <w:pPr>
        <w:pStyle w:val="13"/>
        <w:snapToGrid w:val="0"/>
        <w:spacing w:line="520" w:lineRule="exact"/>
        <w:ind w:left="210" w:leftChars="100" w:firstLine="281" w:firstLineChars="134"/>
        <w:rPr>
          <w:rFonts w:hint="eastAsia" w:ascii="宋体" w:hAnsi="宋体" w:eastAsia="宋体" w:cs="宋体"/>
          <w:sz w:val="21"/>
          <w:szCs w:val="21"/>
        </w:rPr>
      </w:pPr>
      <w:r>
        <w:rPr>
          <w:rFonts w:hint="eastAsia" w:ascii="宋体" w:hAnsi="宋体" w:eastAsia="宋体" w:cs="宋体"/>
          <w:sz w:val="21"/>
          <w:szCs w:val="21"/>
        </w:rPr>
        <w:t>9.2本合同一</w:t>
      </w:r>
      <w:r>
        <w:rPr>
          <w:rFonts w:hint="eastAsia" w:ascii="宋体" w:hAnsi="宋体" w:eastAsia="宋体" w:cs="宋体"/>
          <w:kern w:val="2"/>
          <w:sz w:val="21"/>
          <w:szCs w:val="21"/>
          <w:lang w:val="en-US" w:eastAsia="zh-CN" w:bidi="ar-SA"/>
        </w:rPr>
        <w:t>式</w:t>
      </w:r>
      <w:r>
        <w:rPr>
          <w:rFonts w:hint="eastAsia" w:ascii="宋体" w:hAnsi="宋体" w:eastAsia="宋体" w:cs="宋体"/>
          <w:kern w:val="2"/>
          <w:sz w:val="21"/>
          <w:szCs w:val="21"/>
          <w:u w:val="single"/>
          <w:lang w:val="en-US" w:eastAsia="zh-CN" w:bidi="ar-SA"/>
        </w:rPr>
        <w:t>　　</w:t>
      </w:r>
      <w:r>
        <w:rPr>
          <w:rFonts w:hint="eastAsia" w:ascii="宋体" w:hAnsi="宋体" w:eastAsia="宋体" w:cs="宋体"/>
          <w:kern w:val="2"/>
          <w:sz w:val="21"/>
          <w:szCs w:val="21"/>
          <w:lang w:val="en-US" w:eastAsia="zh-CN" w:bidi="ar-SA"/>
        </w:rPr>
        <w:t>份，甲方、乙方各执</w:t>
      </w:r>
      <w:r>
        <w:rPr>
          <w:rFonts w:hint="eastAsia" w:ascii="宋体" w:hAnsi="宋体" w:eastAsia="宋体" w:cs="宋体"/>
          <w:kern w:val="2"/>
          <w:sz w:val="21"/>
          <w:szCs w:val="21"/>
          <w:u w:val="single"/>
          <w:lang w:val="en-US" w:eastAsia="zh-CN" w:bidi="ar-SA"/>
        </w:rPr>
        <w:t>　　</w:t>
      </w:r>
      <w:r>
        <w:rPr>
          <w:rFonts w:hint="eastAsia" w:ascii="宋体" w:hAnsi="宋体" w:eastAsia="宋体" w:cs="宋体"/>
          <w:kern w:val="2"/>
          <w:sz w:val="21"/>
          <w:szCs w:val="21"/>
          <w:lang w:val="en-US" w:eastAsia="zh-CN" w:bidi="ar-SA"/>
        </w:rPr>
        <w:t>份</w:t>
      </w:r>
      <w:r>
        <w:rPr>
          <w:rFonts w:hint="eastAsia" w:ascii="宋体" w:hAnsi="宋体" w:eastAsia="宋体" w:cs="宋体"/>
          <w:sz w:val="21"/>
          <w:szCs w:val="21"/>
        </w:rPr>
        <w:t>，具有同等法律效力。</w:t>
      </w:r>
    </w:p>
    <w:p>
      <w:pPr>
        <w:widowControl/>
        <w:snapToGrid w:val="0"/>
        <w:spacing w:line="520" w:lineRule="exact"/>
        <w:ind w:firstLine="420" w:firstLineChars="200"/>
        <w:jc w:val="left"/>
        <w:rPr>
          <w:rFonts w:hint="eastAsia" w:ascii="宋体" w:hAnsi="宋体" w:eastAsia="宋体" w:cs="宋体"/>
          <w:szCs w:val="21"/>
        </w:rPr>
      </w:pPr>
      <w:r>
        <w:rPr>
          <w:rFonts w:hint="eastAsia" w:ascii="宋体" w:hAnsi="宋体" w:eastAsia="宋体" w:cs="宋体"/>
          <w:szCs w:val="21"/>
        </w:rPr>
        <w:t>9.3本合同自甲、乙双方法定代表人（负责人）</w:t>
      </w:r>
      <w:r>
        <w:rPr>
          <w:rFonts w:hint="eastAsia" w:ascii="宋体" w:hAnsi="宋体" w:eastAsia="宋体" w:cs="宋体"/>
          <w:szCs w:val="21"/>
          <w:lang w:val="zh-TW" w:eastAsia="zh-TW"/>
        </w:rPr>
        <w:t>或其授权的代理人签</w:t>
      </w:r>
      <w:r>
        <w:rPr>
          <w:rFonts w:hint="eastAsia" w:ascii="宋体" w:hAnsi="宋体" w:eastAsia="宋体" w:cs="宋体"/>
          <w:szCs w:val="21"/>
        </w:rPr>
        <w:t>名</w:t>
      </w:r>
      <w:r>
        <w:rPr>
          <w:rFonts w:hint="eastAsia" w:ascii="宋体" w:hAnsi="宋体" w:eastAsia="宋体" w:cs="宋体"/>
          <w:szCs w:val="21"/>
          <w:lang w:val="zh-TW"/>
        </w:rPr>
        <w:t>，</w:t>
      </w:r>
      <w:r>
        <w:rPr>
          <w:rFonts w:hint="eastAsia" w:ascii="宋体" w:hAnsi="宋体" w:eastAsia="宋体" w:cs="宋体"/>
          <w:szCs w:val="21"/>
        </w:rPr>
        <w:t>并加盖</w:t>
      </w:r>
      <w:r>
        <w:rPr>
          <w:rFonts w:hint="eastAsia" w:ascii="宋体" w:hAnsi="宋体" w:eastAsia="宋体" w:cs="宋体"/>
          <w:szCs w:val="21"/>
          <w:lang w:val="zh-TW" w:eastAsia="zh-TW"/>
        </w:rPr>
        <w:t>单位</w:t>
      </w:r>
      <w:r>
        <w:rPr>
          <w:rFonts w:hint="eastAsia" w:ascii="宋体" w:hAnsi="宋体" w:eastAsia="宋体" w:cs="宋体"/>
          <w:szCs w:val="21"/>
        </w:rPr>
        <w:t>公章之日起生效，</w:t>
      </w:r>
      <w:r>
        <w:rPr>
          <w:rFonts w:hint="eastAsia" w:ascii="宋体" w:hAnsi="宋体" w:eastAsia="宋体" w:cs="宋体"/>
          <w:kern w:val="0"/>
          <w:szCs w:val="21"/>
        </w:rPr>
        <w:t>约定事项全部完成后失效，但是法律、行政法规或本约定书另有规定的除外。</w:t>
      </w:r>
    </w:p>
    <w:p>
      <w:pPr>
        <w:snapToGrid w:val="0"/>
        <w:spacing w:line="520" w:lineRule="exact"/>
        <w:rPr>
          <w:rFonts w:hint="eastAsia" w:ascii="宋体" w:hAnsi="宋体" w:eastAsia="宋体" w:cs="宋体"/>
          <w:szCs w:val="21"/>
        </w:rPr>
      </w:pPr>
      <w:r>
        <w:rPr>
          <w:rFonts w:hint="eastAsia" w:ascii="宋体" w:hAnsi="宋体" w:eastAsia="宋体" w:cs="宋体"/>
          <w:szCs w:val="21"/>
        </w:rPr>
        <w:t xml:space="preserve">    【以下无正文】</w:t>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【本页为《资产评估委托合同》签章页，无正文】</w:t>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甲方：</w:t>
      </w:r>
    </w:p>
    <w:p>
      <w:pPr>
        <w:snapToGrid w:val="0"/>
        <w:spacing w:line="520" w:lineRule="exact"/>
        <w:ind w:firstLine="420" w:firstLineChars="200"/>
        <w:rPr>
          <w:rFonts w:hint="eastAsia" w:ascii="宋体" w:hAnsi="宋体" w:eastAsia="宋体" w:cs="宋体"/>
          <w:szCs w:val="21"/>
          <w:lang w:eastAsia="zh-CN"/>
        </w:rPr>
      </w:pPr>
      <w:r>
        <w:rPr>
          <w:rFonts w:hint="eastAsia" w:ascii="宋体" w:hAnsi="宋体" w:eastAsia="宋体" w:cs="宋体"/>
          <w:szCs w:val="21"/>
        </w:rPr>
        <w:t>法定代表人</w:t>
      </w:r>
      <w:r>
        <w:rPr>
          <w:rFonts w:hint="eastAsia" w:ascii="宋体" w:hAnsi="宋体" w:eastAsia="宋体" w:cs="宋体"/>
          <w:szCs w:val="21"/>
          <w:lang w:eastAsia="zh-CN"/>
        </w:rPr>
        <w:t>：</w:t>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 xml:space="preserve">或其授权代理人： </w:t>
      </w:r>
    </w:p>
    <w:p>
      <w:pPr>
        <w:pStyle w:val="13"/>
        <w:snapToGrid w:val="0"/>
        <w:spacing w:line="520" w:lineRule="exact"/>
        <w:ind w:left="0" w:firstLine="420" w:firstLineChars="200"/>
        <w:rPr>
          <w:rFonts w:hint="eastAsia" w:ascii="宋体" w:hAnsi="宋体" w:eastAsia="宋体" w:cs="宋体"/>
          <w:sz w:val="21"/>
          <w:szCs w:val="21"/>
        </w:rPr>
      </w:pPr>
    </w:p>
    <w:p>
      <w:pPr>
        <w:pStyle w:val="13"/>
        <w:snapToGrid w:val="0"/>
        <w:spacing w:line="52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日期：    年   月   日</w:t>
      </w:r>
    </w:p>
    <w:p>
      <w:pPr>
        <w:snapToGrid w:val="0"/>
        <w:spacing w:line="520" w:lineRule="exact"/>
        <w:ind w:firstLine="420" w:firstLineChars="200"/>
        <w:rPr>
          <w:rFonts w:hint="eastAsia" w:ascii="宋体" w:hAnsi="宋体" w:eastAsia="宋体" w:cs="宋体"/>
          <w:szCs w:val="21"/>
        </w:rPr>
      </w:pPr>
    </w:p>
    <w:p>
      <w:pPr>
        <w:snapToGrid w:val="0"/>
        <w:spacing w:line="520" w:lineRule="exact"/>
        <w:ind w:firstLine="420" w:firstLineChars="200"/>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 xml:space="preserve">乙方： </w:t>
      </w:r>
    </w:p>
    <w:p>
      <w:pPr>
        <w:snapToGrid w:val="0"/>
        <w:spacing w:line="520" w:lineRule="exact"/>
        <w:ind w:firstLine="420" w:firstLineChars="200"/>
        <w:rPr>
          <w:rFonts w:hint="eastAsia" w:ascii="宋体" w:hAnsi="宋体" w:eastAsia="宋体" w:cs="宋体"/>
          <w:szCs w:val="21"/>
        </w:rPr>
      </w:pPr>
    </w:p>
    <w:p>
      <w:pPr>
        <w:snapToGrid w:val="0"/>
        <w:spacing w:line="520" w:lineRule="exact"/>
        <w:ind w:firstLine="420" w:firstLineChars="200"/>
        <w:rPr>
          <w:rFonts w:hint="eastAsia" w:ascii="宋体" w:hAnsi="宋体" w:eastAsia="宋体" w:cs="宋体"/>
          <w:szCs w:val="21"/>
          <w:lang w:eastAsia="zh-CN"/>
        </w:rPr>
      </w:pPr>
      <w:r>
        <w:rPr>
          <w:rFonts w:hint="eastAsia" w:ascii="宋体" w:hAnsi="宋体" w:eastAsia="宋体" w:cs="宋体"/>
          <w:szCs w:val="21"/>
        </w:rPr>
        <w:t>法定代表人（负责人）</w:t>
      </w:r>
      <w:r>
        <w:rPr>
          <w:rFonts w:hint="eastAsia" w:ascii="宋体" w:hAnsi="宋体" w:eastAsia="宋体" w:cs="宋体"/>
          <w:szCs w:val="21"/>
          <w:lang w:eastAsia="zh-CN"/>
        </w:rPr>
        <w:t>：</w:t>
      </w:r>
    </w:p>
    <w:p>
      <w:pPr>
        <w:snapToGrid w:val="0"/>
        <w:spacing w:line="520" w:lineRule="exact"/>
        <w:ind w:firstLine="420" w:firstLineChars="200"/>
        <w:rPr>
          <w:rFonts w:hint="eastAsia" w:ascii="宋体" w:hAnsi="宋体" w:eastAsia="宋体" w:cs="宋体"/>
          <w:szCs w:val="21"/>
        </w:rPr>
      </w:pPr>
      <w:r>
        <w:rPr>
          <w:rFonts w:hint="eastAsia" w:ascii="宋体" w:hAnsi="宋体" w:eastAsia="宋体" w:cs="宋体"/>
          <w:szCs w:val="21"/>
        </w:rPr>
        <w:t xml:space="preserve">或其授权代理人： </w:t>
      </w:r>
    </w:p>
    <w:p>
      <w:pPr>
        <w:pStyle w:val="13"/>
        <w:snapToGrid w:val="0"/>
        <w:spacing w:line="520" w:lineRule="exact"/>
        <w:ind w:left="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开户银行：</w:t>
      </w:r>
    </w:p>
    <w:p>
      <w:pPr>
        <w:pStyle w:val="13"/>
        <w:snapToGrid w:val="0"/>
        <w:spacing w:line="520" w:lineRule="exact"/>
        <w:ind w:left="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开户账号：</w:t>
      </w:r>
    </w:p>
    <w:p>
      <w:pPr>
        <w:pStyle w:val="13"/>
        <w:snapToGrid w:val="0"/>
        <w:spacing w:line="520" w:lineRule="exact"/>
        <w:ind w:left="0" w:firstLine="420" w:firstLineChars="200"/>
        <w:rPr>
          <w:rFonts w:hint="eastAsia" w:ascii="宋体" w:hAnsi="宋体" w:eastAsia="宋体" w:cs="宋体"/>
          <w:sz w:val="21"/>
          <w:szCs w:val="21"/>
        </w:rPr>
      </w:pPr>
    </w:p>
    <w:p>
      <w:pPr>
        <w:pStyle w:val="13"/>
        <w:snapToGrid w:val="0"/>
        <w:spacing w:line="52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日期：    年   月   日</w:t>
      </w:r>
    </w:p>
    <w:p>
      <w:pPr>
        <w:pStyle w:val="13"/>
        <w:snapToGrid w:val="0"/>
        <w:spacing w:line="520" w:lineRule="exact"/>
        <w:ind w:left="0" w:firstLine="560" w:firstLineChars="200"/>
        <w:rPr>
          <w:rFonts w:eastAsia="方正仿宋_GBK"/>
          <w:sz w:val="28"/>
          <w:szCs w:val="28"/>
        </w:rPr>
      </w:pPr>
    </w:p>
    <w:bookmarkEnd w:id="140"/>
    <w:p>
      <w:pPr>
        <w:rPr>
          <w:rFonts w:hint="default" w:ascii="Times New Roman" w:hAnsi="Times New Roman" w:cs="Times New Roman"/>
          <w:color w:val="auto"/>
          <w:highlight w:val="yellow"/>
          <w:u w:val="single"/>
        </w:rPr>
      </w:pPr>
      <w:r>
        <w:rPr>
          <w:rFonts w:hint="default" w:ascii="Times New Roman" w:hAnsi="Times New Roman" w:cs="Times New Roman"/>
          <w:color w:val="auto"/>
          <w:highlight w:val="yellow"/>
          <w:u w:val="single"/>
        </w:rPr>
        <w:br w:type="page"/>
      </w: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Fonts w:hint="default" w:ascii="Times New Roman" w:hAnsi="Times New Roman" w:cs="Times New Roman" w:eastAsiaTheme="minorEastAsia"/>
          <w:b/>
          <w:bCs/>
          <w:color w:val="auto"/>
          <w:kern w:val="2"/>
          <w:sz w:val="22"/>
          <w:szCs w:val="24"/>
          <w:highlight w:val="none"/>
          <w:lang w:val="en-US" w:eastAsia="zh-CN" w:bidi="ar-SA"/>
        </w:rPr>
      </w:pPr>
      <w:bookmarkStart w:id="141" w:name="_Toc19928"/>
      <w:bookmarkStart w:id="142" w:name="_Toc2101"/>
      <w:bookmarkStart w:id="143" w:name="_Toc26302_WPSOffice_Level2"/>
      <w:bookmarkStart w:id="144" w:name="_Toc22922"/>
      <w:bookmarkStart w:id="145" w:name="_Toc17574"/>
      <w:bookmarkStart w:id="146" w:name="_Toc5140_WPSOffice_Level1"/>
      <w:r>
        <w:rPr>
          <w:rFonts w:hint="default" w:ascii="Times New Roman" w:hAnsi="Times New Roman" w:cs="Times New Roman" w:eastAsiaTheme="minorEastAsia"/>
          <w:b/>
          <w:bCs/>
          <w:color w:val="auto"/>
          <w:kern w:val="2"/>
          <w:sz w:val="22"/>
          <w:szCs w:val="24"/>
          <w:highlight w:val="none"/>
          <w:lang w:val="en-US" w:eastAsia="zh-CN" w:bidi="ar-SA"/>
        </w:rPr>
        <w:t>附件：项目负责人委任书</w:t>
      </w:r>
      <w:bookmarkEnd w:id="141"/>
      <w:bookmarkEnd w:id="142"/>
      <w:bookmarkEnd w:id="143"/>
      <w:bookmarkEnd w:id="144"/>
      <w:bookmarkEnd w:id="145"/>
      <w:r>
        <w:rPr>
          <w:rFonts w:hint="default" w:ascii="Times New Roman" w:hAnsi="Times New Roman" w:cs="Times New Roman"/>
          <w:b/>
          <w:bCs/>
          <w:color w:val="auto"/>
          <w:kern w:val="2"/>
          <w:sz w:val="22"/>
          <w:szCs w:val="24"/>
          <w:highlight w:val="none"/>
          <w:lang w:val="en-US" w:eastAsia="zh-CN" w:bidi="ar-SA"/>
        </w:rPr>
        <w:t>（如有）</w:t>
      </w:r>
      <w:bookmarkEnd w:id="146"/>
    </w:p>
    <w:p>
      <w:pPr>
        <w:pStyle w:val="29"/>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2"/>
          <w:szCs w:val="21"/>
          <w:highlight w:val="none"/>
        </w:rPr>
      </w:pPr>
      <w:r>
        <w:rPr>
          <w:rFonts w:hint="default" w:ascii="Times New Roman" w:hAnsi="Times New Roman" w:cs="Times New Roman" w:eastAsiaTheme="minorEastAsia"/>
          <w:color w:val="auto"/>
          <w:sz w:val="22"/>
          <w:szCs w:val="21"/>
          <w:highlight w:val="none"/>
        </w:rPr>
        <w:t>(</w:t>
      </w:r>
      <w:r>
        <w:rPr>
          <w:rFonts w:hint="default" w:ascii="Times New Roman" w:hAnsi="Times New Roman" w:cs="Times New Roman" w:eastAsiaTheme="minorEastAsia"/>
          <w:color w:val="auto"/>
          <w:sz w:val="22"/>
          <w:szCs w:val="21"/>
          <w:highlight w:val="none"/>
          <w:u w:val="single"/>
          <w:lang w:val="en-US" w:eastAsia="zh-CN"/>
        </w:rPr>
        <w:t>乙方</w:t>
      </w:r>
      <w:r>
        <w:rPr>
          <w:rFonts w:hint="default" w:ascii="Times New Roman" w:hAnsi="Times New Roman" w:cs="Times New Roman" w:eastAsiaTheme="minorEastAsia"/>
          <w:color w:val="auto"/>
          <w:sz w:val="22"/>
          <w:szCs w:val="21"/>
          <w:highlight w:val="none"/>
          <w:u w:val="single"/>
        </w:rPr>
        <w:t>全称</w:t>
      </w:r>
      <w:r>
        <w:rPr>
          <w:rFonts w:hint="default" w:ascii="Times New Roman" w:hAnsi="Times New Roman" w:cs="Times New Roman" w:eastAsiaTheme="minorEastAsia"/>
          <w:color w:val="auto"/>
          <w:sz w:val="22"/>
          <w:szCs w:val="21"/>
          <w:highlight w:val="none"/>
        </w:rPr>
        <w:t>)</w:t>
      </w:r>
    </w:p>
    <w:p>
      <w:pPr>
        <w:pStyle w:val="29"/>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2"/>
          <w:szCs w:val="21"/>
          <w:highlight w:val="none"/>
        </w:rPr>
        <w:t>(</w:t>
      </w:r>
      <w:r>
        <w:rPr>
          <w:rFonts w:hint="default" w:ascii="Times New Roman" w:hAnsi="Times New Roman" w:cs="Times New Roman" w:eastAsiaTheme="minorEastAsia"/>
          <w:color w:val="auto"/>
          <w:sz w:val="22"/>
          <w:szCs w:val="21"/>
          <w:highlight w:val="none"/>
          <w:u w:val="single"/>
        </w:rPr>
        <w:t>合同</w:t>
      </w:r>
      <w:r>
        <w:rPr>
          <w:rFonts w:hint="default" w:ascii="Times New Roman" w:hAnsi="Times New Roman" w:cs="Times New Roman" w:eastAsiaTheme="minorEastAsia"/>
          <w:color w:val="auto"/>
          <w:sz w:val="22"/>
          <w:szCs w:val="21"/>
          <w:highlight w:val="none"/>
          <w:u w:val="single"/>
          <w:lang w:val="en-US" w:eastAsia="zh-CN"/>
        </w:rPr>
        <w:t>项目</w:t>
      </w:r>
      <w:r>
        <w:rPr>
          <w:rFonts w:hint="default" w:ascii="Times New Roman" w:hAnsi="Times New Roman" w:cs="Times New Roman" w:eastAsiaTheme="minorEastAsia"/>
          <w:color w:val="auto"/>
          <w:sz w:val="22"/>
          <w:szCs w:val="21"/>
          <w:highlight w:val="none"/>
          <w:u w:val="single"/>
        </w:rPr>
        <w:t>名称</w:t>
      </w:r>
      <w:r>
        <w:rPr>
          <w:rFonts w:hint="default" w:ascii="Times New Roman" w:hAnsi="Times New Roman" w:cs="Times New Roman" w:eastAsiaTheme="minorEastAsia"/>
          <w:color w:val="auto"/>
          <w:sz w:val="22"/>
          <w:szCs w:val="21"/>
          <w:highlight w:val="none"/>
        </w:rPr>
        <w:t>) 项目</w:t>
      </w:r>
      <w:r>
        <w:rPr>
          <w:rFonts w:hint="default" w:ascii="Times New Roman" w:hAnsi="Times New Roman" w:cs="Times New Roman" w:eastAsiaTheme="minorEastAsia"/>
          <w:color w:val="auto"/>
          <w:sz w:val="22"/>
          <w:szCs w:val="21"/>
          <w:highlight w:val="none"/>
          <w:lang w:val="en-US" w:eastAsia="zh-CN"/>
        </w:rPr>
        <w:t>负责人</w:t>
      </w:r>
      <w:r>
        <w:rPr>
          <w:rFonts w:hint="default" w:ascii="Times New Roman" w:hAnsi="Times New Roman" w:cs="Times New Roman" w:eastAsiaTheme="minorEastAsia"/>
          <w:color w:val="auto"/>
          <w:sz w:val="22"/>
          <w:szCs w:val="21"/>
          <w:highlight w:val="none"/>
        </w:rPr>
        <w:t>委任书</w:t>
      </w:r>
    </w:p>
    <w:p>
      <w:pPr>
        <w:pageBreakBefore w:val="0"/>
        <w:kinsoku/>
        <w:wordWrap/>
        <w:overflowPunct/>
        <w:topLinePunct w:val="0"/>
        <w:autoSpaceDE/>
        <w:autoSpaceDN/>
        <w:bidi w:val="0"/>
        <w:snapToGrid w:val="0"/>
        <w:spacing w:line="440" w:lineRule="exact"/>
        <w:ind w:firstLine="480"/>
        <w:textAlignment w:val="auto"/>
        <w:rPr>
          <w:rFonts w:hint="default" w:ascii="Times New Roman" w:hAnsi="Times New Roman" w:cs="Times New Roman" w:eastAsiaTheme="minorEastAsia"/>
          <w:color w:val="auto"/>
          <w:sz w:val="21"/>
          <w:szCs w:val="21"/>
          <w:highlight w:val="none"/>
        </w:rPr>
      </w:pPr>
    </w:p>
    <w:p>
      <w:pPr>
        <w:pageBreakBefore w:val="0"/>
        <w:kinsoku/>
        <w:wordWrap/>
        <w:overflowPunct/>
        <w:topLinePunct w:val="0"/>
        <w:autoSpaceDE/>
        <w:autoSpaceDN/>
        <w:bidi w:val="0"/>
        <w:snapToGrid w:val="0"/>
        <w:spacing w:line="440" w:lineRule="exact"/>
        <w:ind w:firstLine="480"/>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致：</w:t>
      </w:r>
      <w:r>
        <w:rPr>
          <w:rFonts w:hint="default" w:ascii="Times New Roman" w:hAnsi="Times New Roman" w:cs="Times New Roman" w:eastAsiaTheme="minorEastAsia"/>
          <w:color w:val="auto"/>
          <w:sz w:val="21"/>
          <w:szCs w:val="21"/>
          <w:highlight w:val="none"/>
          <w:u w:val="single"/>
        </w:rPr>
        <w:t>(</w:t>
      </w:r>
      <w:r>
        <w:rPr>
          <w:rFonts w:hint="default" w:ascii="Times New Roman" w:hAnsi="Times New Roman" w:cs="Times New Roman"/>
          <w:color w:val="auto"/>
          <w:sz w:val="21"/>
          <w:szCs w:val="21"/>
          <w:highlight w:val="none"/>
          <w:u w:val="single"/>
          <w:lang w:val="en-US" w:eastAsia="zh-CN"/>
        </w:rPr>
        <w:t>甲方</w:t>
      </w:r>
      <w:r>
        <w:rPr>
          <w:rFonts w:hint="default" w:ascii="Times New Roman" w:hAnsi="Times New Roman" w:cs="Times New Roman" w:eastAsiaTheme="minorEastAsia"/>
          <w:color w:val="auto"/>
          <w:sz w:val="21"/>
          <w:szCs w:val="21"/>
          <w:highlight w:val="none"/>
          <w:u w:val="single"/>
        </w:rPr>
        <w:t>全称)</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u w:val="single"/>
        </w:rPr>
        <w:t>(</w:t>
      </w:r>
      <w:r>
        <w:rPr>
          <w:rFonts w:hint="default" w:ascii="Times New Roman" w:hAnsi="Times New Roman" w:cs="Times New Roman"/>
          <w:color w:val="auto"/>
          <w:sz w:val="21"/>
          <w:szCs w:val="21"/>
          <w:highlight w:val="none"/>
          <w:u w:val="single"/>
          <w:lang w:val="en-US" w:eastAsia="zh-CN"/>
        </w:rPr>
        <w:t>乙方</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法定代表人</w:t>
      </w:r>
      <w:r>
        <w:rPr>
          <w:rFonts w:hint="default" w:ascii="Times New Roman" w:hAnsi="Times New Roman" w:cs="Times New Roman" w:eastAsiaTheme="minorEastAsia"/>
          <w:color w:val="auto"/>
          <w:sz w:val="21"/>
          <w:szCs w:val="21"/>
          <w:highlight w:val="none"/>
          <w:u w:val="single"/>
        </w:rPr>
        <w:t xml:space="preserve"> (职务、姓名) </w:t>
      </w:r>
      <w:r>
        <w:rPr>
          <w:rFonts w:hint="default" w:ascii="Times New Roman" w:hAnsi="Times New Roman" w:cs="Times New Roman" w:eastAsiaTheme="minorEastAsia"/>
          <w:color w:val="auto"/>
          <w:sz w:val="21"/>
          <w:szCs w:val="21"/>
          <w:highlight w:val="none"/>
        </w:rPr>
        <w:t>代表本单位委任</w:t>
      </w:r>
      <w:r>
        <w:rPr>
          <w:rFonts w:hint="default" w:ascii="Times New Roman" w:hAnsi="Times New Roman" w:cs="Times New Roman" w:eastAsiaTheme="minorEastAsia"/>
          <w:color w:val="auto"/>
          <w:sz w:val="21"/>
          <w:szCs w:val="21"/>
          <w:highlight w:val="none"/>
          <w:u w:val="single"/>
        </w:rPr>
        <w:t xml:space="preserve"> (职务、姓名) </w:t>
      </w:r>
      <w:r>
        <w:rPr>
          <w:rFonts w:hint="default" w:ascii="Times New Roman" w:hAnsi="Times New Roman" w:cs="Times New Roman" w:eastAsiaTheme="minorEastAsia"/>
          <w:color w:val="auto"/>
          <w:sz w:val="21"/>
          <w:szCs w:val="21"/>
          <w:highlight w:val="none"/>
        </w:rPr>
        <w:t>为</w:t>
      </w:r>
      <w:r>
        <w:rPr>
          <w:rFonts w:hint="default" w:ascii="Times New Roman" w:hAnsi="Times New Roman" w:cs="Times New Roman" w:eastAsiaTheme="minorEastAsia"/>
          <w:color w:val="auto"/>
          <w:sz w:val="21"/>
          <w:szCs w:val="21"/>
          <w:highlight w:val="none"/>
          <w:u w:val="single"/>
        </w:rPr>
        <w:t>(合同</w:t>
      </w:r>
      <w:r>
        <w:rPr>
          <w:rFonts w:hint="default" w:ascii="Times New Roman" w:hAnsi="Times New Roman" w:cs="Times New Roman"/>
          <w:color w:val="auto"/>
          <w:sz w:val="21"/>
          <w:szCs w:val="21"/>
          <w:highlight w:val="none"/>
          <w:u w:val="single"/>
          <w:lang w:val="en-US" w:eastAsia="zh-CN"/>
        </w:rPr>
        <w:t>项目</w:t>
      </w:r>
      <w:r>
        <w:rPr>
          <w:rFonts w:hint="default" w:ascii="Times New Roman" w:hAnsi="Times New Roman" w:cs="Times New Roman" w:eastAsiaTheme="minorEastAsia"/>
          <w:color w:val="auto"/>
          <w:sz w:val="21"/>
          <w:szCs w:val="21"/>
          <w:highlight w:val="none"/>
          <w:u w:val="single"/>
        </w:rPr>
        <w:t>名称)</w:t>
      </w:r>
      <w:r>
        <w:rPr>
          <w:rFonts w:hint="default" w:ascii="Times New Roman" w:hAnsi="Times New Roman" w:cs="Times New Roman" w:eastAsiaTheme="minorEastAsia"/>
          <w:color w:val="auto"/>
          <w:sz w:val="21"/>
          <w:szCs w:val="21"/>
          <w:highlight w:val="none"/>
        </w:rPr>
        <w:t>的项目</w:t>
      </w:r>
      <w:r>
        <w:rPr>
          <w:rFonts w:hint="default" w:ascii="Times New Roman" w:hAnsi="Times New Roman" w:cs="Times New Roman"/>
          <w:color w:val="auto"/>
          <w:sz w:val="21"/>
          <w:szCs w:val="21"/>
          <w:highlight w:val="none"/>
          <w:lang w:val="en-US" w:eastAsia="zh-CN"/>
        </w:rPr>
        <w:t>负责人</w:t>
      </w:r>
      <w:r>
        <w:rPr>
          <w:rFonts w:hint="default" w:ascii="Times New Roman" w:hAnsi="Times New Roman" w:cs="Times New Roman" w:eastAsiaTheme="minorEastAsia"/>
          <w:color w:val="auto"/>
          <w:sz w:val="21"/>
          <w:szCs w:val="21"/>
          <w:highlight w:val="none"/>
        </w:rPr>
        <w:t>。凡本合同执行中的有关技术、进度、质量检验、结算与支付等方面工作，由</w:t>
      </w:r>
      <w:r>
        <w:rPr>
          <w:rFonts w:hint="default" w:ascii="Times New Roman" w:hAnsi="Times New Roman" w:cs="Times New Roman" w:eastAsiaTheme="minorEastAsia"/>
          <w:color w:val="auto"/>
          <w:sz w:val="21"/>
          <w:szCs w:val="21"/>
          <w:highlight w:val="none"/>
          <w:u w:val="single"/>
        </w:rPr>
        <w:t xml:space="preserve">  (姓名) </w:t>
      </w:r>
      <w:r>
        <w:rPr>
          <w:rFonts w:hint="default" w:ascii="Times New Roman" w:hAnsi="Times New Roman" w:cs="Times New Roman" w:eastAsiaTheme="minorEastAsia"/>
          <w:color w:val="auto"/>
          <w:sz w:val="21"/>
          <w:szCs w:val="21"/>
          <w:highlight w:val="none"/>
        </w:rPr>
        <w:t>代表本单位全面负责。</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color w:val="auto"/>
          <w:sz w:val="21"/>
          <w:szCs w:val="21"/>
          <w:highlight w:val="none"/>
          <w:lang w:val="en-US" w:eastAsia="zh-CN"/>
        </w:rPr>
        <w:t xml:space="preserve">    乙方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napToGrid w:val="0"/>
        <w:spacing w:line="440" w:lineRule="exact"/>
        <w:ind w:firstLine="4620" w:firstLineChars="2200"/>
        <w:jc w:val="lef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法定代表人：</w:t>
      </w:r>
      <w:r>
        <w:rPr>
          <w:rFonts w:hint="default" w:ascii="Times New Roman" w:hAnsi="Times New Roman" w:cs="Times New Roman" w:eastAsiaTheme="minorEastAsia"/>
          <w:color w:val="auto"/>
          <w:sz w:val="21"/>
          <w:szCs w:val="21"/>
          <w:highlight w:val="none"/>
          <w:u w:val="single"/>
        </w:rPr>
        <w:t xml:space="preserve">       (职务)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sz w:val="21"/>
          <w:szCs w:val="21"/>
          <w:highlight w:val="none"/>
          <w:u w:val="single"/>
        </w:rPr>
        <w:t xml:space="preserve">           (姓名)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eastAsia="zh-CN"/>
        </w:rPr>
        <w:t>签名</w:t>
      </w:r>
      <w:r>
        <w:rPr>
          <w:rFonts w:hint="default" w:ascii="Times New Roman" w:hAnsi="Times New Roman" w:cs="Times New Roman" w:eastAsiaTheme="minorEastAsia"/>
          <w:color w:val="auto"/>
          <w:sz w:val="21"/>
          <w:szCs w:val="21"/>
          <w:highlight w:val="none"/>
          <w:u w:val="single"/>
        </w:rPr>
        <w:t xml:space="preserve">)   </w:t>
      </w:r>
    </w:p>
    <w:p>
      <w:pPr>
        <w:pStyle w:val="12"/>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w:t>
      </w:r>
    </w:p>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p>
    <w:p>
      <w:pPr>
        <w:pStyle w:val="5"/>
        <w:numPr>
          <w:ilvl w:val="0"/>
          <w:numId w:val="4"/>
        </w:numPr>
        <w:spacing w:before="240" w:after="240"/>
        <w:rPr>
          <w:rFonts w:hint="default" w:ascii="Times New Roman" w:hAnsi="Times New Roman" w:eastAsia="宋体" w:cs="Times New Roman"/>
          <w:color w:val="auto"/>
          <w:highlight w:val="none"/>
        </w:rPr>
      </w:pPr>
      <w:bookmarkStart w:id="147" w:name="_Toc17834_WPSOffice_Level1"/>
      <w:r>
        <w:rPr>
          <w:rFonts w:hint="default" w:ascii="Times New Roman" w:hAnsi="Times New Roman" w:eastAsia="宋体" w:cs="Times New Roman"/>
          <w:color w:val="auto"/>
          <w:highlight w:val="none"/>
          <w:lang w:val="en-US" w:eastAsia="zh-CN"/>
        </w:rPr>
        <w:t>采购需求及清单</w:t>
      </w:r>
      <w:bookmarkEnd w:id="147"/>
    </w:p>
    <w:p>
      <w:pPr>
        <w:pStyle w:val="6"/>
        <w:keepNext/>
        <w:keepLines/>
        <w:pageBreakBefore w:val="0"/>
        <w:widowControl w:val="0"/>
        <w:numPr>
          <w:ilvl w:val="0"/>
          <w:numId w:val="0"/>
        </w:numPr>
        <w:kinsoku/>
        <w:wordWrap/>
        <w:overflowPunct/>
        <w:topLinePunct w:val="0"/>
        <w:autoSpaceDE/>
        <w:autoSpaceDN/>
        <w:bidi w:val="0"/>
        <w:adjustRightInd/>
        <w:snapToGrid w:val="0"/>
        <w:spacing w:before="120" w:after="120" w:line="240" w:lineRule="auto"/>
        <w:ind w:left="630" w:leftChars="0"/>
        <w:textAlignment w:val="auto"/>
        <w:rPr>
          <w:rFonts w:hint="default" w:ascii="Times New Roman" w:hAnsi="Times New Roman" w:cs="Times New Roman"/>
          <w:color w:val="auto"/>
          <w:highlight w:val="none"/>
          <w:lang w:val="en-US" w:eastAsia="zh-CN"/>
        </w:rPr>
      </w:pPr>
      <w:bookmarkStart w:id="148" w:name="_Toc10970_WPSOffice_Level1"/>
      <w:bookmarkStart w:id="149" w:name="_Toc28814_WPSOffice_Level2"/>
      <w:r>
        <w:rPr>
          <w:rFonts w:hint="default" w:ascii="Times New Roman" w:hAnsi="Times New Roman" w:cs="Times New Roman"/>
          <w:color w:val="auto"/>
          <w:highlight w:val="none"/>
          <w:lang w:val="en-US" w:eastAsia="zh-CN"/>
        </w:rPr>
        <w:t>1、技术大纲或工作任务书或委托人要求</w:t>
      </w:r>
      <w:bookmarkEnd w:id="148"/>
    </w:p>
    <w:p>
      <w:pPr>
        <w:pStyle w:val="6"/>
        <w:keepNext/>
        <w:keepLines/>
        <w:pageBreakBefore w:val="0"/>
        <w:widowControl w:val="0"/>
        <w:numPr>
          <w:ilvl w:val="0"/>
          <w:numId w:val="0"/>
        </w:numPr>
        <w:kinsoku/>
        <w:wordWrap/>
        <w:overflowPunct/>
        <w:topLinePunct w:val="0"/>
        <w:autoSpaceDE/>
        <w:autoSpaceDN/>
        <w:bidi w:val="0"/>
        <w:adjustRightInd/>
        <w:snapToGrid w:val="0"/>
        <w:spacing w:before="120" w:after="120" w:line="240" w:lineRule="auto"/>
        <w:ind w:left="630" w:leftChars="0"/>
        <w:textAlignment w:val="auto"/>
        <w:rPr>
          <w:rFonts w:hint="default" w:ascii="Times New Roman" w:hAnsi="Times New Roman" w:cs="Times New Roman"/>
          <w:color w:val="auto"/>
          <w:highlight w:val="none"/>
          <w:lang w:val="en-US" w:eastAsia="zh-CN"/>
        </w:rPr>
      </w:pPr>
      <w:bookmarkStart w:id="150" w:name="_Toc8332_WPSOffice_Level1"/>
      <w:r>
        <w:rPr>
          <w:rFonts w:hint="default" w:ascii="Times New Roman" w:hAnsi="Times New Roman" w:cs="Times New Roman" w:eastAsiaTheme="minorEastAsia"/>
          <w:b/>
          <w:bCs/>
          <w:color w:val="auto"/>
          <w:kern w:val="2"/>
          <w:sz w:val="28"/>
          <w:szCs w:val="32"/>
          <w:highlight w:val="none"/>
          <w:lang w:val="en-US" w:eastAsia="zh-CN" w:bidi="ar-SA"/>
        </w:rPr>
        <w:t>2、</w:t>
      </w:r>
      <w:r>
        <w:rPr>
          <w:rFonts w:hint="default" w:ascii="Times New Roman" w:hAnsi="Times New Roman" w:cs="Times New Roman"/>
          <w:b/>
          <w:bCs/>
          <w:color w:val="auto"/>
          <w:kern w:val="2"/>
          <w:sz w:val="28"/>
          <w:szCs w:val="32"/>
          <w:highlight w:val="none"/>
          <w:lang w:val="en-US" w:eastAsia="zh-CN" w:bidi="ar-SA"/>
        </w:rPr>
        <w:t>图纸</w:t>
      </w:r>
      <w:r>
        <w:rPr>
          <w:rFonts w:hint="eastAsia" w:ascii="Times New Roman" w:hAnsi="Times New Roman" w:cs="Times New Roman"/>
          <w:b/>
          <w:bCs/>
          <w:color w:val="auto"/>
          <w:kern w:val="2"/>
          <w:sz w:val="28"/>
          <w:szCs w:val="32"/>
          <w:highlight w:val="none"/>
          <w:lang w:val="en-US" w:eastAsia="zh-CN" w:bidi="ar-SA"/>
        </w:rPr>
        <w:t>（如有）</w:t>
      </w:r>
      <w:bookmarkEnd w:id="150"/>
    </w:p>
    <w:p>
      <w:pPr>
        <w:pStyle w:val="6"/>
        <w:keepNext/>
        <w:keepLines/>
        <w:numPr>
          <w:ilvl w:val="0"/>
          <w:numId w:val="0"/>
        </w:numPr>
        <w:snapToGrid w:val="0"/>
        <w:spacing w:before="120"/>
        <w:ind w:left="630"/>
        <w:rPr>
          <w:rFonts w:hint="default" w:ascii="Times New Roman" w:hAnsi="Times New Roman" w:cs="Times New Roman"/>
          <w:color w:val="auto"/>
          <w:highlight w:val="none"/>
          <w:lang w:val="en-US" w:eastAsia="zh-CN"/>
        </w:rPr>
      </w:pPr>
      <w:bookmarkStart w:id="151" w:name="_Toc8777_WPSOffice_Level1"/>
      <w:r>
        <w:rPr>
          <w:rFonts w:hint="default" w:ascii="Times New Roman" w:hAnsi="Times New Roman" w:cs="Times New Roman"/>
          <w:color w:val="auto"/>
          <w:highlight w:val="none"/>
          <w:lang w:val="en-US" w:eastAsia="zh-CN"/>
        </w:rPr>
        <w:t>3、报价清单</w:t>
      </w:r>
      <w:r>
        <w:rPr>
          <w:rFonts w:hint="eastAsia" w:ascii="Times New Roman" w:hAnsi="Times New Roman" w:cs="Times New Roman"/>
          <w:b/>
          <w:bCs/>
          <w:color w:val="auto"/>
          <w:kern w:val="2"/>
          <w:sz w:val="28"/>
          <w:szCs w:val="32"/>
          <w:highlight w:val="none"/>
          <w:lang w:val="en-US" w:eastAsia="zh-CN" w:bidi="ar-SA"/>
        </w:rPr>
        <w:t>（如有）</w:t>
      </w:r>
      <w:bookmarkEnd w:id="149"/>
      <w:bookmarkEnd w:id="151"/>
    </w:p>
    <w:p>
      <w:pPr>
        <w:rPr>
          <w:rFonts w:hint="default" w:ascii="Times New Roman" w:hAnsi="Times New Roman" w:cs="Times New Roman"/>
          <w:color w:val="auto"/>
          <w:highlight w:val="none"/>
          <w:lang w:val="en-US"/>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pStyle w:val="5"/>
        <w:numPr>
          <w:ilvl w:val="0"/>
          <w:numId w:val="4"/>
        </w:numPr>
        <w:spacing w:before="240" w:after="240"/>
        <w:rPr>
          <w:rFonts w:hint="default" w:ascii="Times New Roman" w:hAnsi="Times New Roman" w:eastAsia="宋体" w:cs="Times New Roman"/>
          <w:color w:val="auto"/>
          <w:highlight w:val="none"/>
        </w:rPr>
      </w:pPr>
      <w:bookmarkStart w:id="152" w:name="_Toc27766_WPSOffice_Level1"/>
      <w:r>
        <w:rPr>
          <w:rFonts w:hint="default" w:ascii="Times New Roman" w:hAnsi="Times New Roman" w:eastAsia="宋体" w:cs="Times New Roman"/>
          <w:color w:val="auto"/>
          <w:highlight w:val="none"/>
          <w:lang w:val="en-US" w:eastAsia="zh-CN"/>
        </w:rPr>
        <w:t>响应文件格式</w:t>
      </w:r>
      <w:bookmarkEnd w:id="152"/>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53" w:name="_Toc17394_WPSOffice_Level1"/>
      <w:bookmarkStart w:id="154" w:name="_Toc14496_WPSOffice_Level1"/>
      <w:bookmarkStart w:id="155" w:name="_Toc27552_WPSOffice_Level1"/>
      <w:bookmarkStart w:id="156" w:name="_Toc1456_WPSOffice_Level1"/>
      <w:bookmarkStart w:id="157" w:name="_Toc191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53"/>
      <w:bookmarkEnd w:id="154"/>
      <w:bookmarkEnd w:id="155"/>
      <w:bookmarkEnd w:id="156"/>
      <w:bookmarkEnd w:id="15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58" w:name="_Toc25232_WPSOffice_Level2"/>
      <w:bookmarkStart w:id="15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58"/>
      <w:bookmarkEnd w:id="15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60" w:name="_Toc20076_WPSOffice_Level2"/>
      <w:bookmarkStart w:id="16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60"/>
      <w:bookmarkEnd w:id="161"/>
    </w:p>
    <w:p>
      <w:pPr>
        <w:spacing w:line="440" w:lineRule="exact"/>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62" w:name="_Toc21974_WPSOffice_Level2"/>
      <w:bookmarkStart w:id="163" w:name="_Toc22351_WPSOffice_Level2"/>
      <w:r>
        <w:rPr>
          <w:rFonts w:hint="default" w:ascii="Times New Roman" w:hAnsi="Times New Roman" w:eastAsia="黑体" w:cs="Times New Roman"/>
          <w:color w:val="auto"/>
          <w:sz w:val="28"/>
          <w:szCs w:val="28"/>
          <w:highlight w:val="none"/>
        </w:rPr>
        <w:t>目     录</w:t>
      </w:r>
      <w:bookmarkEnd w:id="162"/>
      <w:bookmarkEnd w:id="16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64" w:name="_Toc11424_WPSOffice_Level1"/>
      <w:bookmarkStart w:id="165" w:name="_Toc27094_WPSOffice_Level1"/>
      <w:bookmarkStart w:id="166" w:name="_Toc23368_WPSOffice_Level1"/>
      <w:bookmarkStart w:id="167" w:name="_Toc6353_WPSOffice_Level1"/>
      <w:bookmarkStart w:id="168" w:name="_Toc30529_WPSOffice_Level1"/>
      <w:bookmarkStart w:id="169" w:name="_Toc12670_WPSOffice_Level1"/>
      <w:r>
        <w:rPr>
          <w:rFonts w:ascii="Times New Roman" w:hAnsi="Times New Roman" w:eastAsia="黑体" w:cs="Times New Roman"/>
          <w:color w:val="auto"/>
          <w:sz w:val="24"/>
          <w:highlight w:val="none"/>
        </w:rPr>
        <w:t>一、报价函</w:t>
      </w:r>
      <w:bookmarkEnd w:id="164"/>
      <w:bookmarkEnd w:id="165"/>
      <w:bookmarkEnd w:id="166"/>
      <w:bookmarkEnd w:id="167"/>
      <w:bookmarkEnd w:id="168"/>
    </w:p>
    <w:p>
      <w:pPr>
        <w:spacing w:line="440" w:lineRule="exact"/>
        <w:ind w:left="1619" w:leftChars="771"/>
        <w:rPr>
          <w:rFonts w:ascii="Times New Roman" w:hAnsi="Times New Roman" w:eastAsia="黑体" w:cs="Times New Roman"/>
          <w:color w:val="auto"/>
          <w:sz w:val="24"/>
          <w:highlight w:val="none"/>
        </w:rPr>
      </w:pPr>
      <w:bookmarkStart w:id="170" w:name="_Toc32729_WPSOffice_Level1"/>
      <w:bookmarkStart w:id="171" w:name="_Toc31927_WPSOffice_Level1"/>
      <w:bookmarkStart w:id="172" w:name="_Toc5317_WPSOffice_Level1"/>
      <w:bookmarkStart w:id="173" w:name="_Toc21229_WPSOffice_Level1"/>
      <w:bookmarkStart w:id="174" w:name="_Toc25557_WPSOffice_Level1"/>
      <w:r>
        <w:rPr>
          <w:rFonts w:ascii="Times New Roman" w:hAnsi="Times New Roman" w:eastAsia="黑体" w:cs="Times New Roman"/>
          <w:color w:val="auto"/>
          <w:sz w:val="24"/>
          <w:highlight w:val="none"/>
        </w:rPr>
        <w:t>二、法定代表人身份证明及授权委托书</w:t>
      </w:r>
      <w:bookmarkEnd w:id="170"/>
      <w:bookmarkEnd w:id="171"/>
      <w:bookmarkEnd w:id="172"/>
      <w:bookmarkEnd w:id="173"/>
      <w:bookmarkEnd w:id="174"/>
    </w:p>
    <w:p>
      <w:pPr>
        <w:spacing w:line="440" w:lineRule="exact"/>
        <w:ind w:left="1619" w:leftChars="771"/>
        <w:rPr>
          <w:rFonts w:ascii="Times New Roman" w:hAnsi="Times New Roman" w:eastAsia="黑体" w:cs="Times New Roman"/>
          <w:color w:val="auto"/>
          <w:sz w:val="24"/>
          <w:highlight w:val="none"/>
        </w:rPr>
      </w:pPr>
      <w:bookmarkStart w:id="175" w:name="_Toc29085_WPSOffice_Level1"/>
      <w:bookmarkStart w:id="176" w:name="_Toc23356_WPSOffice_Level1"/>
      <w:bookmarkStart w:id="177" w:name="_Toc4728_WPSOffice_Level1"/>
      <w:bookmarkStart w:id="178" w:name="_Toc25965_WPSOffice_Level1"/>
      <w:bookmarkStart w:id="179" w:name="_Toc8372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w:t>
      </w:r>
      <w:r>
        <w:rPr>
          <w:rFonts w:hint="eastAsia" w:ascii="Times New Roman" w:hAnsi="Times New Roman" w:eastAsia="黑体" w:cs="Times New Roman"/>
          <w:color w:val="auto"/>
          <w:sz w:val="24"/>
          <w:highlight w:val="none"/>
          <w:lang w:val="en-US" w:eastAsia="zh-CN"/>
        </w:rPr>
        <w:t>供应商基本情况</w:t>
      </w:r>
      <w:bookmarkEnd w:id="175"/>
      <w:bookmarkEnd w:id="176"/>
      <w:bookmarkEnd w:id="177"/>
      <w:bookmarkEnd w:id="178"/>
      <w:bookmarkEnd w:id="179"/>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80" w:name="_Toc7453_WPSOffice_Level1"/>
      <w:bookmarkStart w:id="181" w:name="_Toc23744_WPSOffice_Level1"/>
      <w:bookmarkStart w:id="182" w:name="_Toc10608_WPSOffice_Level1"/>
      <w:bookmarkStart w:id="183" w:name="_Toc18964_WPSOffice_Level1"/>
      <w:bookmarkStart w:id="184" w:name="_Toc2021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80"/>
      <w:bookmarkEnd w:id="181"/>
      <w:bookmarkEnd w:id="182"/>
      <w:bookmarkEnd w:id="183"/>
      <w:r>
        <w:rPr>
          <w:rFonts w:hint="eastAsia" w:ascii="Times New Roman" w:hAnsi="Times New Roman" w:eastAsia="黑体" w:cs="Times New Roman"/>
          <w:color w:val="auto"/>
          <w:sz w:val="24"/>
          <w:highlight w:val="none"/>
          <w:lang w:val="en-US" w:eastAsia="zh-CN"/>
        </w:rPr>
        <w:t>近年类似业绩情况</w:t>
      </w:r>
      <w:bookmarkEnd w:id="184"/>
    </w:p>
    <w:p>
      <w:pPr>
        <w:spacing w:line="440" w:lineRule="exact"/>
        <w:ind w:left="1619" w:leftChars="771"/>
        <w:rPr>
          <w:rFonts w:ascii="Times New Roman" w:hAnsi="Times New Roman" w:eastAsia="黑体" w:cs="Times New Roman"/>
          <w:color w:val="auto"/>
          <w:sz w:val="24"/>
          <w:highlight w:val="none"/>
        </w:rPr>
      </w:pPr>
      <w:bookmarkStart w:id="185" w:name="_Toc9006_WPSOffice_Level1"/>
      <w:bookmarkStart w:id="186" w:name="_Toc23751_WPSOffice_Level1"/>
      <w:bookmarkStart w:id="187" w:name="_Toc19601_WPSOffice_Level1"/>
      <w:bookmarkStart w:id="188" w:name="_Toc1578_WPSOffice_Level1"/>
      <w:bookmarkStart w:id="189" w:name="_Toc9536_WPSOffice_Level1"/>
      <w:r>
        <w:rPr>
          <w:rFonts w:hint="eastAsia" w:ascii="Times New Roman" w:hAnsi="Times New Roman" w:eastAsia="黑体" w:cs="Times New Roman"/>
          <w:color w:val="auto"/>
          <w:sz w:val="24"/>
          <w:highlight w:val="none"/>
          <w:lang w:val="en-US" w:eastAsia="zh-CN"/>
        </w:rPr>
        <w:t>五、</w:t>
      </w:r>
      <w:bookmarkEnd w:id="185"/>
      <w:bookmarkEnd w:id="186"/>
      <w:bookmarkEnd w:id="187"/>
      <w:bookmarkEnd w:id="188"/>
      <w:r>
        <w:rPr>
          <w:rFonts w:hint="eastAsia" w:ascii="Times New Roman" w:hAnsi="Times New Roman" w:eastAsia="黑体" w:cs="Times New Roman"/>
          <w:color w:val="auto"/>
          <w:sz w:val="24"/>
          <w:highlight w:val="none"/>
          <w:lang w:val="en-US" w:eastAsia="zh-CN"/>
        </w:rPr>
        <w:t>拟委任的主要人员</w:t>
      </w:r>
      <w:bookmarkEnd w:id="189"/>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90" w:name="_Toc24082_WPSOffice_Level1"/>
      <w:bookmarkStart w:id="191" w:name="_Toc31314_WPSOffice_Level1"/>
      <w:bookmarkStart w:id="192" w:name="_Toc4130_WPSOffice_Level1"/>
      <w:bookmarkStart w:id="193" w:name="_Toc12459_WPSOffice_Level1"/>
      <w:bookmarkStart w:id="194"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90"/>
      <w:bookmarkEnd w:id="191"/>
      <w:r>
        <w:rPr>
          <w:rFonts w:hint="eastAsia" w:ascii="Times New Roman" w:hAnsi="Times New Roman" w:eastAsia="黑体" w:cs="Times New Roman"/>
          <w:color w:val="auto"/>
          <w:sz w:val="24"/>
          <w:highlight w:val="none"/>
          <w:lang w:val="en-US" w:eastAsia="zh-CN"/>
        </w:rPr>
        <w:t>信誉情况</w:t>
      </w:r>
      <w:bookmarkEnd w:id="192"/>
    </w:p>
    <w:p>
      <w:pPr>
        <w:spacing w:line="440" w:lineRule="exact"/>
        <w:ind w:left="1619" w:leftChars="771"/>
        <w:rPr>
          <w:rFonts w:ascii="Times New Roman" w:hAnsi="Times New Roman" w:eastAsia="黑体" w:cs="Times New Roman"/>
          <w:color w:val="auto"/>
          <w:sz w:val="24"/>
          <w:highlight w:val="none"/>
        </w:rPr>
      </w:pPr>
      <w:bookmarkStart w:id="195" w:name="_Toc32220_WPSOffice_Level1"/>
      <w:bookmarkStart w:id="196" w:name="_Toc20930_WPSOffice_Level1"/>
      <w:bookmarkStart w:id="197" w:name="_Toc4968_WPSOffice_Level1"/>
      <w:r>
        <w:rPr>
          <w:rFonts w:hint="eastAsia" w:ascii="Times New Roman" w:hAnsi="Times New Roman" w:eastAsia="黑体" w:cs="Times New Roman"/>
          <w:color w:val="auto"/>
          <w:sz w:val="24"/>
          <w:highlight w:val="none"/>
          <w:lang w:val="en-US" w:eastAsia="zh-CN"/>
        </w:rPr>
        <w:t>七</w:t>
      </w:r>
      <w:bookmarkEnd w:id="193"/>
      <w:bookmarkEnd w:id="194"/>
      <w:bookmarkEnd w:id="195"/>
      <w:bookmarkEnd w:id="196"/>
      <w:bookmarkStart w:id="198" w:name="_Toc25804_WPSOffice_Level1"/>
      <w:bookmarkStart w:id="199" w:name="_Toc30273_WPSOffice_Level1"/>
      <w:bookmarkStart w:id="200" w:name="_Toc27403_WPSOffice_Level1"/>
      <w:bookmarkStart w:id="201" w:name="_Toc32648_WPSOffice_Level1"/>
      <w:r>
        <w:rPr>
          <w:rFonts w:ascii="Times New Roman" w:hAnsi="Times New Roman" w:eastAsia="黑体" w:cs="Times New Roman"/>
          <w:color w:val="auto"/>
          <w:sz w:val="24"/>
          <w:highlight w:val="none"/>
        </w:rPr>
        <w:t>、</w:t>
      </w:r>
      <w:bookmarkEnd w:id="198"/>
      <w:bookmarkEnd w:id="199"/>
      <w:bookmarkEnd w:id="200"/>
      <w:bookmarkEnd w:id="201"/>
      <w:r>
        <w:rPr>
          <w:rFonts w:hint="eastAsia" w:ascii="Times New Roman" w:hAnsi="Times New Roman" w:eastAsia="黑体" w:cs="Times New Roman"/>
          <w:color w:val="auto"/>
          <w:sz w:val="24"/>
          <w:highlight w:val="none"/>
          <w:lang w:val="en-US" w:eastAsia="zh-CN"/>
        </w:rPr>
        <w:t>技术方案</w:t>
      </w:r>
      <w:bookmarkEnd w:id="197"/>
    </w:p>
    <w:p>
      <w:pPr>
        <w:spacing w:line="440" w:lineRule="exact"/>
        <w:ind w:left="1619" w:leftChars="771"/>
        <w:rPr>
          <w:rFonts w:hint="default" w:ascii="Times New Roman" w:hAnsi="Times New Roman" w:eastAsia="黑体" w:cs="Times New Roman"/>
          <w:color w:val="auto"/>
          <w:sz w:val="24"/>
          <w:highlight w:val="none"/>
        </w:rPr>
      </w:pPr>
      <w:bookmarkStart w:id="202" w:name="_Toc4051_WPSOffice_Level1"/>
      <w:bookmarkStart w:id="203" w:name="_Toc32152_WPSOffice_Level1"/>
      <w:bookmarkStart w:id="204" w:name="_Toc23147_WPSOffice_Level1"/>
      <w:bookmarkStart w:id="205" w:name="_Toc30234_WPSOffice_Level1"/>
      <w:bookmarkStart w:id="206" w:name="_Toc22085_WPSOffice_Level1"/>
      <w:r>
        <w:rPr>
          <w:rFonts w:hint="eastAsia" w:ascii="Times New Roman" w:hAnsi="Times New Roman" w:eastAsia="黑体" w:cs="Times New Roman"/>
          <w:color w:val="auto"/>
          <w:sz w:val="24"/>
          <w:highlight w:val="none"/>
          <w:lang w:val="en-US" w:eastAsia="zh-CN"/>
        </w:rPr>
        <w:t>八</w:t>
      </w:r>
      <w:r>
        <w:rPr>
          <w:rFonts w:ascii="Times New Roman" w:hAnsi="Times New Roman" w:eastAsia="黑体" w:cs="Times New Roman"/>
          <w:color w:val="auto"/>
          <w:sz w:val="24"/>
          <w:highlight w:val="none"/>
        </w:rPr>
        <w:t>、</w:t>
      </w:r>
      <w:bookmarkEnd w:id="202"/>
      <w:bookmarkEnd w:id="203"/>
      <w:bookmarkEnd w:id="204"/>
      <w:bookmarkEnd w:id="205"/>
      <w:r>
        <w:rPr>
          <w:rFonts w:hint="eastAsia" w:ascii="Times New Roman" w:hAnsi="Times New Roman" w:eastAsia="黑体" w:cs="Times New Roman"/>
          <w:color w:val="auto"/>
          <w:sz w:val="24"/>
          <w:highlight w:val="none"/>
          <w:lang w:val="en-US" w:eastAsia="zh-CN"/>
        </w:rPr>
        <w:t>其他材料</w:t>
      </w:r>
      <w:bookmarkEnd w:id="169"/>
      <w:bookmarkEnd w:id="206"/>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207" w:name="_Toc1687_WPSOffice_Level1"/>
      <w:bookmarkStart w:id="208" w:name="_Toc25394_WPSOffice_Level1"/>
      <w:bookmarkStart w:id="209" w:name="_Toc30031_WPSOffice_Level1"/>
      <w:bookmarkStart w:id="210" w:name="_Toc28708_WPSOffice_Level1"/>
      <w:bookmarkStart w:id="211" w:name="_Toc18312_WPSOffice_Level1"/>
      <w:bookmarkStart w:id="212"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207"/>
      <w:bookmarkEnd w:id="208"/>
      <w:bookmarkEnd w:id="209"/>
      <w:bookmarkEnd w:id="210"/>
      <w:bookmarkEnd w:id="211"/>
      <w:bookmarkEnd w:id="212"/>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文件的全部内容(含补遗书第__号至第__号)，愿意以人民币(大写)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服务期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default" w:ascii="Times New Roman" w:hAnsi="Times New Roman" w:cs="Times New Roman"/>
          <w:color w:val="auto"/>
          <w:sz w:val="24"/>
          <w:highlight w:val="none"/>
          <w:lang w:val="en-US" w:eastAsia="zh-CN"/>
        </w:rPr>
        <w:t>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lang w:val="en-US" w:eastAsia="zh-CN"/>
        </w:rPr>
        <w:t>安全目标达到</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480" w:firstLineChars="200"/>
        <w:rPr>
          <w:rFonts w:hint="default" w:ascii="Times New Roman" w:hAnsi="Times New Roman" w:cs="Times New Roman"/>
          <w:color w:val="auto"/>
          <w:sz w:val="24"/>
          <w:highlight w:val="none"/>
          <w:lang w:val="en-US" w:eastAsia="zh-CN"/>
        </w:rPr>
      </w:pPr>
    </w:p>
    <w:p>
      <w:pPr>
        <w:spacing w:line="400" w:lineRule="exact"/>
        <w:ind w:firstLine="480" w:firstLineChars="200"/>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213" w:name="_Toc16271_WPSOffice_Level1"/>
      <w:bookmarkStart w:id="214" w:name="_Toc10475_WPSOffice_Level1"/>
      <w:bookmarkStart w:id="215" w:name="_Toc14563_WPSOffice_Level1"/>
      <w:bookmarkStart w:id="216" w:name="_Toc32350_WPSOffice_Level1"/>
      <w:bookmarkStart w:id="217" w:name="_Toc18668_WPSOffice_Level1"/>
      <w:bookmarkStart w:id="218" w:name="_Toc8695_WPSOffice_Level1"/>
      <w:r>
        <w:rPr>
          <w:rFonts w:hint="default" w:ascii="Times New Roman" w:hAnsi="Times New Roman" w:eastAsia="黑体" w:cs="Times New Roman"/>
          <w:color w:val="auto"/>
          <w:sz w:val="28"/>
          <w:szCs w:val="28"/>
          <w:highlight w:val="none"/>
        </w:rPr>
        <w:t>二、法定代表人身份证明及授权委托书</w:t>
      </w:r>
      <w:bookmarkEnd w:id="213"/>
      <w:bookmarkEnd w:id="214"/>
      <w:bookmarkEnd w:id="215"/>
      <w:bookmarkEnd w:id="216"/>
      <w:bookmarkEnd w:id="217"/>
      <w:bookmarkEnd w:id="21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219" w:name="_Toc20803_WPSOffice_Level2"/>
      <w:bookmarkStart w:id="220" w:name="_Toc5153_WPSOffice_Level2"/>
      <w:r>
        <w:rPr>
          <w:rFonts w:hint="default" w:ascii="Times New Roman" w:hAnsi="Times New Roman" w:eastAsia="黑体" w:cs="Times New Roman"/>
          <w:bCs/>
          <w:color w:val="auto"/>
          <w:sz w:val="28"/>
          <w:szCs w:val="28"/>
          <w:highlight w:val="none"/>
        </w:rPr>
        <w:t>2-1 法定代表人身份证明</w:t>
      </w:r>
      <w:bookmarkEnd w:id="219"/>
      <w:bookmarkEnd w:id="22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221" w:name="_Toc12035_WPSOffice_Level2"/>
      <w:bookmarkStart w:id="22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221"/>
      <w:bookmarkEnd w:id="22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sectPr>
          <w:footerReference r:id="rId6"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hint="default" w:ascii="Times New Roman" w:hAnsi="Times New Roman" w:eastAsia="黑体" w:cs="Times New Roman"/>
          <w:color w:val="auto"/>
          <w:sz w:val="24"/>
          <w:highlight w:val="none"/>
        </w:rPr>
        <w:br w:type="page"/>
      </w:r>
    </w:p>
    <w:p>
      <w:pPr>
        <w:topLinePunct/>
        <w:spacing w:line="440" w:lineRule="exact"/>
        <w:jc w:val="center"/>
        <w:rPr>
          <w:rFonts w:hint="default" w:ascii="Times New Roman" w:hAnsi="Times New Roman" w:eastAsia="黑体" w:cs="Times New Roman"/>
          <w:color w:val="auto"/>
          <w:sz w:val="28"/>
          <w:szCs w:val="28"/>
          <w:highlight w:val="none"/>
        </w:rPr>
      </w:pPr>
      <w:bookmarkStart w:id="223" w:name="_Toc5978_WPSOffice_Level1"/>
      <w:bookmarkStart w:id="224" w:name="_Toc31445_WPSOffice_Level1"/>
      <w:bookmarkStart w:id="225" w:name="_Toc26477_WPSOffice_Level1"/>
      <w:bookmarkStart w:id="226" w:name="_Toc23545_WPSOffice_Level1"/>
      <w:bookmarkStart w:id="227" w:name="_Toc7738_WPSOffice_Level1"/>
      <w:bookmarkStart w:id="228" w:name="_Toc10436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w:t>
      </w:r>
      <w:bookmarkStart w:id="229" w:name="_Toc2807_WPSOffice_Level2"/>
      <w:bookmarkStart w:id="230"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223"/>
      <w:bookmarkEnd w:id="224"/>
      <w:bookmarkEnd w:id="225"/>
      <w:bookmarkEnd w:id="226"/>
      <w:bookmarkEnd w:id="227"/>
      <w:bookmarkEnd w:id="228"/>
      <w:bookmarkEnd w:id="229"/>
      <w:bookmarkEnd w:id="230"/>
    </w:p>
    <w:p>
      <w:pPr>
        <w:topLinePunct/>
        <w:spacing w:line="440" w:lineRule="exact"/>
        <w:jc w:val="center"/>
        <w:rPr>
          <w:rFonts w:hint="default" w:ascii="Times New Roman" w:hAnsi="Times New Roman" w:cs="Times New Roman"/>
          <w:color w:val="auto"/>
          <w:sz w:val="23"/>
          <w:szCs w:val="23"/>
          <w:highlight w:val="none"/>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w:t>
      </w:r>
      <w:r>
        <w:rPr>
          <w:rFonts w:hint="default" w:ascii="Times New Roman" w:hAnsi="Times New Roman" w:eastAsia="黑体" w:cs="Times New Roman"/>
          <w:color w:val="auto"/>
          <w:szCs w:val="21"/>
          <w:highlight w:val="none"/>
          <w:lang w:val="en-US" w:eastAsia="zh-CN"/>
        </w:rPr>
        <w:t>及资格审查要求的其他证件复印件</w:t>
      </w:r>
      <w:r>
        <w:rPr>
          <w:rFonts w:hint="eastAsia" w:ascii="Times New Roman" w:hAnsi="Times New Roman" w:eastAsia="黑体" w:cs="Times New Roman"/>
          <w:color w:val="auto"/>
          <w:szCs w:val="21"/>
          <w:highlight w:val="none"/>
          <w:lang w:val="en-US" w:eastAsia="zh-CN"/>
        </w:rPr>
        <w:t>，资格条件里的评估师人员需提供人员名单及资质证书复印件并加盖公章，并承诺提供的人员需为本所正式员工</w:t>
      </w:r>
      <w:r>
        <w:rPr>
          <w:rFonts w:hint="default"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3"/>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231" w:name="_Toc1102_WPSOffice_Level1"/>
      <w:bookmarkStart w:id="232" w:name="_Toc5072_WPSOffice_Level1"/>
      <w:bookmarkStart w:id="233" w:name="_Toc3772_WPSOffice_Level1"/>
      <w:bookmarkStart w:id="234" w:name="_Toc18547_WPSOffice_Level1"/>
      <w:bookmarkStart w:id="235" w:name="_Toc19004_WPSOffice_Level1"/>
      <w:bookmarkStart w:id="236" w:name="_Toc20943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231"/>
      <w:bookmarkEnd w:id="232"/>
      <w:bookmarkEnd w:id="233"/>
      <w:bookmarkEnd w:id="234"/>
      <w:bookmarkEnd w:id="235"/>
      <w:bookmarkEnd w:id="236"/>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项目所在地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开工日期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完成</w:t>
            </w:r>
            <w:r>
              <w:rPr>
                <w:rFonts w:hint="default" w:ascii="Times New Roman" w:hAnsi="Times New Roman" w:cs="Times New Roman"/>
                <w:color w:val="auto"/>
                <w:szCs w:val="21"/>
                <w:highlight w:val="none"/>
              </w:rPr>
              <w:t>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承担的工作</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项目</w:t>
            </w:r>
            <w:r>
              <w:rPr>
                <w:rFonts w:hint="eastAsia" w:ascii="Times New Roman" w:hAnsi="Times New Roman" w:cs="Times New Roman"/>
                <w:color w:val="auto"/>
                <w:szCs w:val="21"/>
                <w:highlight w:val="none"/>
                <w:lang w:val="en-US" w:eastAsia="zh-CN"/>
              </w:rPr>
              <w:t>负责人</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2、业绩证明材料要求：__</w:t>
      </w:r>
      <w:r>
        <w:rPr>
          <w:rFonts w:hint="eastAsia" w:ascii="Times New Roman" w:hAnsi="Times New Roman" w:eastAsia="黑体" w:cs="Times New Roman"/>
          <w:color w:val="auto"/>
          <w:szCs w:val="21"/>
          <w:highlight w:val="none"/>
          <w:u w:val="single"/>
          <w:lang w:val="en-US" w:eastAsia="zh-CN"/>
        </w:rPr>
        <w:t>_提供合同复印件</w:t>
      </w:r>
      <w:r>
        <w:rPr>
          <w:rFonts w:hint="eastAsia" w:ascii="Times New Roman" w:hAnsi="Times New Roman" w:eastAsia="黑体" w:cs="Times New Roman"/>
          <w:color w:val="auto"/>
          <w:szCs w:val="21"/>
          <w:highlight w:val="none"/>
          <w:lang w:val="en-US" w:eastAsia="zh-CN"/>
        </w:rPr>
        <w:t>____。</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1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widowControl/>
        <w:autoSpaceDE w:val="0"/>
        <w:autoSpaceDN w:val="0"/>
        <w:spacing w:line="360" w:lineRule="atLeast"/>
        <w:ind w:left="180"/>
        <w:jc w:val="center"/>
        <w:textAlignment w:val="bottom"/>
        <w:rPr>
          <w:rFonts w:hint="default" w:ascii="Times New Roman" w:hAnsi="Times New Roman" w:eastAsia="黑体" w:cs="Times New Roman"/>
          <w:color w:val="auto"/>
          <w:sz w:val="28"/>
          <w:szCs w:val="28"/>
          <w:highlight w:val="none"/>
          <w:lang w:eastAsia="zh-CN"/>
        </w:rPr>
      </w:pPr>
      <w:bookmarkStart w:id="237" w:name="_Toc29313_WPSOffice_Level1"/>
      <w:bookmarkStart w:id="238" w:name="_Toc8166_WPSOffice_Level1"/>
      <w:bookmarkStart w:id="239" w:name="_Toc4739_WPSOffice_Level1"/>
      <w:bookmarkStart w:id="240" w:name="_Toc16156_WPSOffice_Level1"/>
      <w:bookmarkStart w:id="241" w:name="_Toc18931_WPSOffice_Level1"/>
      <w:bookmarkStart w:id="242" w:name="_Toc24001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拟委任的主要人</w:t>
      </w:r>
      <w:bookmarkEnd w:id="237"/>
      <w:r>
        <w:rPr>
          <w:rFonts w:hint="default" w:ascii="Times New Roman" w:hAnsi="Times New Roman" w:eastAsia="黑体" w:cs="Times New Roman"/>
          <w:color w:val="auto"/>
          <w:sz w:val="28"/>
          <w:szCs w:val="28"/>
          <w:highlight w:val="none"/>
          <w:lang w:eastAsia="zh-CN"/>
        </w:rPr>
        <w:t>员</w:t>
      </w:r>
      <w:bookmarkEnd w:id="238"/>
      <w:bookmarkEnd w:id="239"/>
      <w:bookmarkEnd w:id="240"/>
      <w:bookmarkEnd w:id="241"/>
      <w:bookmarkEnd w:id="242"/>
    </w:p>
    <w:p>
      <w:pPr>
        <w:pStyle w:val="12"/>
        <w:widowControl/>
        <w:autoSpaceDE w:val="0"/>
        <w:autoSpaceDN w:val="0"/>
        <w:spacing w:line="360" w:lineRule="atLeast"/>
        <w:ind w:left="180"/>
        <w:jc w:val="center"/>
        <w:textAlignment w:val="bottom"/>
        <w:rPr>
          <w:rFonts w:hint="default" w:ascii="Times New Roman" w:hAnsi="Times New Roman" w:eastAsia="黑体" w:cs="Times New Roman"/>
          <w:color w:val="auto"/>
          <w:sz w:val="28"/>
          <w:szCs w:val="28"/>
          <w:highlight w:val="none"/>
        </w:rPr>
      </w:pPr>
      <w:bookmarkStart w:id="243" w:name="_Toc6185_WPSOffice_Level2"/>
      <w:bookmarkStart w:id="244" w:name="_Toc24686_WPSOffice_Level2"/>
      <w:r>
        <w:rPr>
          <w:rFonts w:hint="default" w:ascii="Times New Roman" w:hAnsi="Times New Roman" w:eastAsia="黑体" w:cs="Times New Roman"/>
          <w:color w:val="auto"/>
          <w:sz w:val="28"/>
          <w:szCs w:val="28"/>
          <w:highlight w:val="none"/>
        </w:rPr>
        <w:t>拟委任的</w:t>
      </w:r>
      <w:r>
        <w:rPr>
          <w:rFonts w:hint="eastAsia" w:ascii="Times New Roman" w:hAnsi="Times New Roman" w:eastAsia="黑体" w:cs="Times New Roman"/>
          <w:color w:val="auto"/>
          <w:sz w:val="28"/>
          <w:szCs w:val="28"/>
          <w:highlight w:val="none"/>
          <w:lang w:val="en-US" w:eastAsia="zh-CN"/>
        </w:rPr>
        <w:t>主要人员</w:t>
      </w:r>
      <w:r>
        <w:rPr>
          <w:rFonts w:hint="default" w:ascii="Times New Roman" w:hAnsi="Times New Roman" w:eastAsia="黑体" w:cs="Times New Roman"/>
          <w:color w:val="auto"/>
          <w:sz w:val="28"/>
          <w:szCs w:val="28"/>
          <w:highlight w:val="none"/>
        </w:rPr>
        <w:t>资历表</w:t>
      </w:r>
      <w:bookmarkEnd w:id="243"/>
      <w:bookmarkEnd w:id="244"/>
    </w:p>
    <w:tbl>
      <w:tblPr>
        <w:tblStyle w:val="21"/>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3"/>
        <w:gridCol w:w="48"/>
        <w:gridCol w:w="1392"/>
        <w:gridCol w:w="1016"/>
        <w:gridCol w:w="1322"/>
        <w:gridCol w:w="323"/>
        <w:gridCol w:w="1478"/>
        <w:gridCol w:w="36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183"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    名</w:t>
            </w:r>
          </w:p>
        </w:tc>
        <w:tc>
          <w:tcPr>
            <w:tcW w:w="1440"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016"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    龄</w:t>
            </w:r>
          </w:p>
        </w:tc>
        <w:tc>
          <w:tcPr>
            <w:tcW w:w="1322"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0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专    业</w:t>
            </w:r>
          </w:p>
        </w:tc>
        <w:tc>
          <w:tcPr>
            <w:tcW w:w="1598"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1183"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    称</w:t>
            </w:r>
          </w:p>
        </w:tc>
        <w:tc>
          <w:tcPr>
            <w:tcW w:w="1440"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016"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    务</w:t>
            </w:r>
          </w:p>
        </w:tc>
        <w:tc>
          <w:tcPr>
            <w:tcW w:w="1322"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0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拟在本项目</w:t>
            </w:r>
          </w:p>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担任职务</w:t>
            </w:r>
          </w:p>
        </w:tc>
        <w:tc>
          <w:tcPr>
            <w:tcW w:w="1598"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8360" w:type="dxa"/>
            <w:gridSpan w:val="9"/>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__年~__年</w:t>
            </w:r>
          </w:p>
        </w:tc>
        <w:tc>
          <w:tcPr>
            <w:tcW w:w="4053" w:type="dxa"/>
            <w:gridSpan w:val="4"/>
            <w:noWrap w:val="0"/>
            <w:vAlign w:val="center"/>
          </w:tcPr>
          <w:p>
            <w:pPr>
              <w:pStyle w:val="32"/>
              <w:widowControl/>
              <w:adjustRightInd/>
              <w:snapToGrid/>
              <w:spacing w:before="40" w:after="40" w:line="280" w:lineRule="atLeast"/>
              <w:textAlignment w:val="bottom"/>
              <w:rPr>
                <w:rFonts w:hint="default" w:ascii="Times New Roman" w:hAnsi="Times New Roman" w:cs="Times New Roman"/>
                <w:color w:val="auto"/>
                <w:spacing w:val="0"/>
                <w:kern w:val="2"/>
                <w:szCs w:val="21"/>
                <w:highlight w:val="none"/>
              </w:rPr>
            </w:pPr>
            <w:r>
              <w:rPr>
                <w:rFonts w:hint="default" w:ascii="Times New Roman" w:hAnsi="Times New Roman" w:cs="Times New Roman"/>
                <w:color w:val="auto"/>
                <w:spacing w:val="0"/>
                <w:kern w:val="2"/>
                <w:szCs w:val="21"/>
                <w:highlight w:val="none"/>
              </w:rPr>
              <w:t>参加过的</w:t>
            </w:r>
            <w:r>
              <w:rPr>
                <w:rFonts w:hint="eastAsia" w:ascii="Times New Roman" w:hAnsi="Times New Roman" w:cs="Times New Roman"/>
                <w:color w:val="auto"/>
                <w:spacing w:val="0"/>
                <w:kern w:val="2"/>
                <w:szCs w:val="21"/>
                <w:highlight w:val="none"/>
                <w:lang w:val="en-US" w:eastAsia="zh-CN"/>
              </w:rPr>
              <w:t>类似</w:t>
            </w:r>
            <w:r>
              <w:rPr>
                <w:rFonts w:hint="default" w:ascii="Times New Roman" w:hAnsi="Times New Roman" w:cs="Times New Roman"/>
                <w:color w:val="auto"/>
                <w:spacing w:val="0"/>
                <w:kern w:val="2"/>
                <w:szCs w:val="21"/>
                <w:highlight w:val="none"/>
              </w:rPr>
              <w:t>项目名称</w:t>
            </w:r>
          </w:p>
        </w:tc>
        <w:tc>
          <w:tcPr>
            <w:tcW w:w="1847" w:type="dxa"/>
            <w:gridSpan w:val="2"/>
            <w:noWrap w:val="0"/>
            <w:vAlign w:val="center"/>
          </w:tcPr>
          <w:p>
            <w:pPr>
              <w:pStyle w:val="32"/>
              <w:widowControl/>
              <w:adjustRightInd/>
              <w:snapToGrid/>
              <w:spacing w:before="40" w:after="40" w:line="280" w:lineRule="atLeast"/>
              <w:textAlignment w:val="bottom"/>
              <w:rPr>
                <w:rFonts w:hint="default" w:ascii="Times New Roman" w:hAnsi="Times New Roman" w:cs="Times New Roman"/>
                <w:color w:val="auto"/>
                <w:spacing w:val="0"/>
                <w:kern w:val="2"/>
                <w:szCs w:val="21"/>
                <w:highlight w:val="none"/>
              </w:rPr>
            </w:pPr>
            <w:r>
              <w:rPr>
                <w:rFonts w:hint="default" w:ascii="Times New Roman" w:hAnsi="Times New Roman" w:cs="Times New Roman"/>
                <w:color w:val="auto"/>
                <w:spacing w:val="0"/>
                <w:kern w:val="2"/>
                <w:szCs w:val="21"/>
                <w:highlight w:val="none"/>
              </w:rPr>
              <w:t>担任何职</w:t>
            </w:r>
          </w:p>
        </w:tc>
        <w:tc>
          <w:tcPr>
            <w:tcW w:w="1229"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4053" w:type="dxa"/>
            <w:gridSpan w:val="4"/>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47"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c>
          <w:tcPr>
            <w:tcW w:w="1229" w:type="dxa"/>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4053" w:type="dxa"/>
            <w:gridSpan w:val="4"/>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47"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c>
          <w:tcPr>
            <w:tcW w:w="1229" w:type="dxa"/>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4053" w:type="dxa"/>
            <w:gridSpan w:val="4"/>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47"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c>
          <w:tcPr>
            <w:tcW w:w="1229" w:type="dxa"/>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4053" w:type="dxa"/>
            <w:gridSpan w:val="4"/>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47"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c>
          <w:tcPr>
            <w:tcW w:w="1229" w:type="dxa"/>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4053" w:type="dxa"/>
            <w:gridSpan w:val="4"/>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47"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c>
          <w:tcPr>
            <w:tcW w:w="1229" w:type="dxa"/>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bl>
    <w:p>
      <w:pPr>
        <w:pStyle w:val="3"/>
        <w:spacing w:line="240" w:lineRule="atLeast"/>
        <w:ind w:left="0" w:leftChars="0"/>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Cs w:val="21"/>
          <w:highlight w:val="none"/>
          <w:lang w:eastAsia="zh-CN"/>
        </w:rPr>
        <w:t>1、一个人员对应填写一张本资历表。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w:t>
      </w:r>
      <w:r>
        <w:rPr>
          <w:rFonts w:hint="default" w:ascii="Times New Roman" w:hAnsi="Times New Roman" w:eastAsia="黑体" w:cs="Times New Roman"/>
          <w:color w:val="auto"/>
          <w:szCs w:val="21"/>
          <w:highlight w:val="none"/>
          <w:lang w:eastAsia="zh-CN"/>
        </w:rPr>
        <w:t>在本表后应附有其有效的身份证</w:t>
      </w:r>
      <w:r>
        <w:rPr>
          <w:rFonts w:hint="eastAsia" w:ascii="Times New Roman" w:hAnsi="Times New Roman" w:eastAsia="黑体" w:cs="Times New Roman"/>
          <w:color w:val="auto"/>
          <w:szCs w:val="21"/>
          <w:highlight w:val="none"/>
          <w:lang w:eastAsia="zh-CN"/>
        </w:rPr>
        <w:t>、</w:t>
      </w:r>
      <w:r>
        <w:rPr>
          <w:rFonts w:hint="eastAsia" w:ascii="Times New Roman" w:hAnsi="Times New Roman" w:eastAsia="黑体" w:cs="Times New Roman"/>
          <w:color w:val="auto"/>
          <w:szCs w:val="21"/>
          <w:highlight w:val="none"/>
          <w:lang w:val="en-US" w:eastAsia="zh-CN"/>
        </w:rPr>
        <w:t>响应文件递交截止时间前一年内连续三个月在供应商本单位的社保缴费记录、__项目负责人资格要求材料并加盖公章__</w:t>
      </w:r>
      <w:r>
        <w:rPr>
          <w:rFonts w:hint="default" w:ascii="Times New Roman" w:hAnsi="Times New Roman" w:eastAsia="黑体" w:cs="Times New Roman"/>
          <w:color w:val="auto"/>
          <w:szCs w:val="21"/>
          <w:highlight w:val="none"/>
          <w:lang w:eastAsia="zh-CN"/>
        </w:rPr>
        <w:t>的复印件。所有证件的扫描件均应清晰可辨，否则，将被认为证书无效。</w:t>
      </w:r>
    </w:p>
    <w:p>
      <w:pPr>
        <w:pStyle w:val="3"/>
        <w:spacing w:after="0" w:line="240" w:lineRule="atLeast"/>
        <w:ind w:left="630" w:leftChars="100" w:hanging="420" w:hangingChars="200"/>
        <w:rPr>
          <w:rFonts w:hint="default" w:ascii="Times New Roman" w:hAnsi="Times New Roman" w:eastAsia="黑体" w:cs="Times New Roman"/>
          <w:bCs/>
          <w:color w:val="auto"/>
          <w:kern w:val="0"/>
          <w:szCs w:val="21"/>
          <w:highlight w:val="none"/>
        </w:rPr>
      </w:pPr>
    </w:p>
    <w:p>
      <w:pPr>
        <w:pStyle w:val="3"/>
        <w:spacing w:after="0" w:line="240" w:lineRule="atLeast"/>
        <w:ind w:left="630" w:leftChars="100" w:hanging="420" w:hangingChars="200"/>
        <w:rPr>
          <w:rFonts w:hint="default" w:ascii="Times New Roman" w:hAnsi="Times New Roman" w:cs="Times New Roman"/>
          <w:bCs/>
          <w:color w:val="auto"/>
          <w:kern w:val="0"/>
          <w:sz w:val="20"/>
          <w:szCs w:val="20"/>
          <w:highlight w:val="none"/>
        </w:rPr>
      </w:pPr>
      <w:r>
        <w:rPr>
          <w:rFonts w:hint="default" w:ascii="Times New Roman" w:hAnsi="Times New Roman" w:eastAsia="黑体" w:cs="Times New Roman"/>
          <w:bCs/>
          <w:color w:val="auto"/>
          <w:kern w:val="0"/>
          <w:szCs w:val="21"/>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245" w:name="_Toc12019_WPSOffice_Level1"/>
      <w:bookmarkStart w:id="246" w:name="_Toc5403_WPSOffice_Level1"/>
      <w:bookmarkStart w:id="247" w:name="_Toc32222_WPSOffice_Level1"/>
      <w:bookmarkStart w:id="248" w:name="_Toc9267_WPSOffice_Level1"/>
      <w:bookmarkStart w:id="249" w:name="_Toc3893_WPSOffice_Level1"/>
      <w:bookmarkStart w:id="250" w:name="_Toc8691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245"/>
      <w:bookmarkEnd w:id="246"/>
      <w:bookmarkEnd w:id="247"/>
      <w:bookmarkEnd w:id="248"/>
      <w:bookmarkEnd w:id="249"/>
      <w:bookmarkEnd w:id="250"/>
    </w:p>
    <w:p>
      <w:pPr>
        <w:topLinePunct/>
        <w:spacing w:line="440" w:lineRule="exact"/>
        <w:rPr>
          <w:rFonts w:hint="default" w:ascii="Times New Roman" w:hAnsi="Times New Roman" w:cs="Times New Roman"/>
          <w:bCs/>
          <w:color w:val="auto"/>
          <w:sz w:val="23"/>
          <w:szCs w:val="23"/>
          <w:highlight w:val="none"/>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向前追溯3年）供应商或其法定代表人、拟委任的</w:t>
            </w:r>
            <w:r>
              <w:rPr>
                <w:rFonts w:hint="eastAsia" w:ascii="Times New Roman" w:hAnsi="Times New Roman" w:cs="Times New Roman"/>
                <w:color w:val="auto"/>
                <w:sz w:val="24"/>
                <w:szCs w:val="28"/>
                <w:highlight w:val="none"/>
                <w:u w:val="none"/>
                <w:lang w:val="en-US" w:eastAsia="zh-CN"/>
              </w:rPr>
              <w:t>项目负责人</w:t>
            </w:r>
            <w:r>
              <w:rPr>
                <w:rFonts w:hint="default" w:ascii="Times New Roman" w:hAnsi="Times New Roman" w:cs="Times New Roman"/>
                <w:color w:val="auto"/>
                <w:sz w:val="24"/>
                <w:szCs w:val="28"/>
                <w:highlight w:val="none"/>
                <w:u w:val="none"/>
                <w:lang w:val="en-US" w:eastAsia="zh-CN"/>
              </w:rPr>
              <w:t>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向前追溯3年）供应商或其法定代表人、拟委任的</w:t>
            </w:r>
            <w:r>
              <w:rPr>
                <w:rFonts w:hint="eastAsia" w:ascii="Times New Roman" w:hAnsi="Times New Roman" w:cs="Times New Roman"/>
                <w:color w:val="auto"/>
                <w:sz w:val="24"/>
                <w:szCs w:val="28"/>
                <w:highlight w:val="none"/>
                <w:u w:val="none"/>
                <w:lang w:val="en-US" w:eastAsia="zh-CN"/>
              </w:rPr>
              <w:t>项目负责人</w:t>
            </w:r>
            <w:r>
              <w:rPr>
                <w:rFonts w:hint="default" w:ascii="Times New Roman" w:hAnsi="Times New Roman" w:cs="Times New Roman"/>
                <w:color w:val="auto"/>
                <w:sz w:val="24"/>
                <w:szCs w:val="28"/>
                <w:highlight w:val="none"/>
                <w:u w:val="none"/>
                <w:lang w:val="en-US" w:eastAsia="zh-CN"/>
              </w:rPr>
              <w:t>有</w:t>
            </w:r>
            <w:r>
              <w:rPr>
                <w:rFonts w:hint="eastAsia" w:ascii="Times New Roman" w:hAnsi="Times New Roman" w:cs="Times New Roman"/>
                <w:color w:val="auto"/>
                <w:sz w:val="24"/>
                <w:szCs w:val="28"/>
                <w:highlight w:val="none"/>
                <w:u w:val="none"/>
                <w:lang w:val="en-US" w:eastAsia="zh-CN"/>
              </w:rPr>
              <w:t>受到相关主管部门因违反职业操作规定的处理</w:t>
            </w:r>
            <w:r>
              <w:rPr>
                <w:rFonts w:hint="default" w:ascii="Times New Roman" w:hAnsi="Times New Roman" w:cs="Times New Roman"/>
                <w:color w:val="auto"/>
                <w:sz w:val="24"/>
                <w:szCs w:val="28"/>
                <w:highlight w:val="none"/>
                <w:u w:val="none"/>
                <w:lang w:val="en-US" w:eastAsia="zh-CN"/>
              </w:rPr>
              <w:t>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077" w:type="dxa"/>
            <w:noWrap w:val="0"/>
            <w:vAlign w:val="center"/>
          </w:tcPr>
          <w:p>
            <w:pPr>
              <w:keepNext w:val="0"/>
              <w:keepLines w:val="0"/>
              <w:pageBreakBefore w:val="0"/>
              <w:widowControl/>
              <w:suppressLineNumbers w:val="0"/>
              <w:kinsoku/>
              <w:wordWrap/>
              <w:overflowPunct/>
              <w:topLinePunct/>
              <w:autoSpaceDE/>
              <w:autoSpaceDN/>
              <w:bidi w:val="0"/>
              <w:adjustRightInd/>
              <w:snapToGrid/>
              <w:spacing w:line="440" w:lineRule="exact"/>
              <w:ind w:firstLine="0" w:firstLineChars="0"/>
              <w:jc w:val="left"/>
              <w:textAlignment w:val="auto"/>
              <w:rPr>
                <w:rFonts w:hint="default" w:ascii="Times New Roman" w:hAnsi="Times New Roman" w:cs="Times New Roman" w:eastAsiaTheme="minorEastAsia"/>
                <w:i w:val="0"/>
                <w:iCs w:val="0"/>
                <w:color w:val="auto"/>
                <w:kern w:val="2"/>
                <w:sz w:val="24"/>
                <w:szCs w:val="28"/>
                <w:highlight w:val="none"/>
                <w:u w:val="none"/>
                <w:lang w:val="en-US" w:eastAsia="zh-CN" w:bidi="ar"/>
              </w:rPr>
            </w:pPr>
            <w:r>
              <w:rPr>
                <w:rFonts w:hint="default" w:ascii="Times New Roman" w:hAnsi="Times New Roman" w:cs="Times New Roman"/>
                <w:i w:val="0"/>
                <w:iCs w:val="0"/>
                <w:color w:val="auto"/>
                <w:kern w:val="2"/>
                <w:sz w:val="24"/>
                <w:szCs w:val="28"/>
                <w:highlight w:val="none"/>
                <w:u w:val="none"/>
                <w:lang w:val="en-US" w:eastAsia="zh-CN" w:bidi="ar"/>
              </w:rPr>
              <w:t>是否</w:t>
            </w:r>
            <w:r>
              <w:rPr>
                <w:rFonts w:hint="default" w:ascii="Times New Roman" w:hAnsi="Times New Roman" w:cs="Times New Roman" w:eastAsiaTheme="minorEastAsia"/>
                <w:i w:val="0"/>
                <w:iCs w:val="0"/>
                <w:color w:val="auto"/>
                <w:kern w:val="2"/>
                <w:sz w:val="24"/>
                <w:szCs w:val="28"/>
                <w:highlight w:val="none"/>
                <w:u w:val="none"/>
                <w:lang w:val="en-US" w:eastAsia="zh-CN" w:bidi="ar"/>
              </w:rPr>
              <w:t>承担被评估项目的清产核资、财务审计、财务顾问业务</w:t>
            </w:r>
          </w:p>
          <w:p>
            <w:pPr>
              <w:topLinePunct/>
              <w:spacing w:line="440" w:lineRule="exact"/>
              <w:rPr>
                <w:rFonts w:hint="default" w:ascii="Times New Roman" w:hAnsi="Times New Roman" w:cs="Times New Roman"/>
                <w:color w:val="auto"/>
                <w:sz w:val="24"/>
                <w:szCs w:val="28"/>
                <w:highlight w:val="none"/>
                <w:u w:val="none"/>
                <w:lang w:val="en-US" w:eastAsia="zh-CN"/>
              </w:rPr>
            </w:pP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1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1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12"/>
        <w:rPr>
          <w:rFonts w:hint="default"/>
          <w:color w:val="auto"/>
          <w:highlight w:val="none"/>
        </w:rPr>
      </w:pPr>
    </w:p>
    <w:p>
      <w:pPr>
        <w:spacing w:line="400" w:lineRule="atLeast"/>
        <w:jc w:val="both"/>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7"/>
          <w:szCs w:val="27"/>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251" w:name="_Toc23493_WPSOffice_Level1"/>
      <w:bookmarkStart w:id="252" w:name="_Toc2048_WPSOffice_Level1"/>
      <w:bookmarkStart w:id="253" w:name="_Toc1483_WPSOffice_Level1"/>
      <w:bookmarkStart w:id="254" w:name="_Toc24999_WPSOffice_Level1"/>
      <w:bookmarkStart w:id="255" w:name="_Toc31596_WPSOffice_Level1"/>
      <w:bookmarkStart w:id="256" w:name="_Toc29660_WPSOffice_Level1"/>
      <w:r>
        <w:rPr>
          <w:rFonts w:hint="eastAsia" w:ascii="Times New Roman" w:hAnsi="Times New Roman" w:eastAsia="黑体" w:cs="Times New Roman"/>
          <w:color w:val="auto"/>
          <w:sz w:val="28"/>
          <w:szCs w:val="28"/>
          <w:highlight w:val="none"/>
          <w:lang w:val="en-US" w:eastAsia="zh-CN"/>
        </w:rPr>
        <w:t>七</w:t>
      </w:r>
      <w:r>
        <w:rPr>
          <w:rFonts w:hint="default" w:ascii="Times New Roman" w:hAnsi="Times New Roman" w:eastAsia="黑体" w:cs="Times New Roman"/>
          <w:color w:val="auto"/>
          <w:sz w:val="28"/>
          <w:szCs w:val="28"/>
          <w:highlight w:val="none"/>
        </w:rPr>
        <w:t>、</w:t>
      </w:r>
      <w:bookmarkEnd w:id="251"/>
      <w:bookmarkEnd w:id="252"/>
      <w:bookmarkEnd w:id="253"/>
      <w:bookmarkEnd w:id="254"/>
      <w:r>
        <w:rPr>
          <w:rFonts w:hint="eastAsia" w:ascii="Times New Roman" w:hAnsi="Times New Roman" w:eastAsia="黑体" w:cs="Times New Roman"/>
          <w:color w:val="auto"/>
          <w:sz w:val="28"/>
          <w:szCs w:val="28"/>
          <w:highlight w:val="none"/>
          <w:lang w:eastAsia="zh-CN"/>
        </w:rPr>
        <w:t>技术方案</w:t>
      </w:r>
      <w:bookmarkEnd w:id="255"/>
      <w:bookmarkEnd w:id="256"/>
    </w:p>
    <w:p>
      <w:pPr>
        <w:spacing w:line="440" w:lineRule="exact"/>
        <w:rPr>
          <w:rFonts w:hint="default" w:ascii="Times New Roman" w:hAnsi="Times New Roman" w:eastAsia="黑体" w:cs="Times New Roman"/>
          <w:color w:val="auto"/>
          <w:sz w:val="20"/>
          <w:szCs w:val="20"/>
          <w:highlight w:val="none"/>
        </w:rPr>
      </w:pPr>
    </w:p>
    <w:p>
      <w:pPr>
        <w:spacing w:line="440" w:lineRule="exact"/>
        <w:ind w:firstLine="480" w:firstLineChars="20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应按</w:t>
      </w:r>
      <w:r>
        <w:rPr>
          <w:rFonts w:hint="eastAsia" w:ascii="Times New Roman" w:hAnsi="Times New Roman" w:cs="Times New Roman"/>
          <w:color w:val="auto"/>
          <w:sz w:val="24"/>
          <w:highlight w:val="none"/>
          <w:lang w:val="en-US" w:eastAsia="zh-CN"/>
        </w:rPr>
        <w:t>项目特点</w:t>
      </w:r>
      <w:r>
        <w:rPr>
          <w:rFonts w:hint="default" w:ascii="Times New Roman" w:hAnsi="Times New Roman" w:cs="Times New Roman"/>
          <w:color w:val="auto"/>
          <w:sz w:val="24"/>
          <w:highlight w:val="none"/>
        </w:rPr>
        <w:t>编制</w:t>
      </w:r>
      <w:r>
        <w:rPr>
          <w:rFonts w:hint="eastAsia" w:ascii="Times New Roman" w:hAnsi="Times New Roman" w:cs="Times New Roman"/>
          <w:color w:val="auto"/>
          <w:sz w:val="24"/>
          <w:highlight w:val="none"/>
          <w:lang w:eastAsia="zh-CN"/>
        </w:rPr>
        <w:t>技术方案</w:t>
      </w:r>
      <w:r>
        <w:rPr>
          <w:rFonts w:hint="default" w:ascii="Times New Roman" w:hAnsi="Times New Roman" w:cs="Times New Roman"/>
          <w:color w:val="auto"/>
          <w:sz w:val="24"/>
          <w:highlight w:val="none"/>
        </w:rPr>
        <w:t>(文字宜精炼、内容具有针对性)</w:t>
      </w:r>
      <w:r>
        <w:rPr>
          <w:rFonts w:hint="eastAsia" w:ascii="Times New Roman" w:hAnsi="Times New Roman" w:cs="Times New Roman"/>
          <w:color w:val="auto"/>
          <w:sz w:val="24"/>
          <w:highlight w:val="none"/>
          <w:lang w:eastAsia="zh-CN"/>
        </w:rPr>
        <w:t>。</w:t>
      </w:r>
    </w:p>
    <w:p>
      <w:pPr>
        <w:numPr>
          <w:ilvl w:val="-1"/>
          <w:numId w:val="0"/>
        </w:numPr>
        <w:snapToGrid/>
        <w:spacing w:line="240" w:lineRule="auto"/>
        <w:ind w:left="0" w:firstLine="0" w:firstLineChars="0"/>
        <w:rPr>
          <w:rFonts w:hint="default" w:ascii="Times New Roman" w:hAnsi="Times New Roman" w:cs="Times New Roman"/>
          <w:color w:val="auto"/>
          <w:sz w:val="24"/>
          <w:highlight w:val="none"/>
        </w:rPr>
      </w:pPr>
      <w:bookmarkStart w:id="257" w:name="_Toc16609_WPSOffice_Level2"/>
      <w:bookmarkStart w:id="258" w:name="_Toc4794_WPSOffice_Level2"/>
      <w:r>
        <w:rPr>
          <w:rFonts w:hint="default" w:ascii="Times New Roman" w:hAnsi="Times New Roman" w:cs="Times New Roman"/>
          <w:color w:val="auto"/>
          <w:sz w:val="24"/>
          <w:highlight w:val="none"/>
        </w:rPr>
        <w:br w:type="page"/>
      </w:r>
    </w:p>
    <w:bookmarkEnd w:id="257"/>
    <w:bookmarkEnd w:id="258"/>
    <w:p>
      <w:pPr>
        <w:spacing w:line="440" w:lineRule="exact"/>
        <w:jc w:val="center"/>
        <w:rPr>
          <w:rFonts w:hint="default" w:ascii="Times New Roman" w:hAnsi="Times New Roman" w:eastAsia="黑体" w:cs="Times New Roman"/>
          <w:color w:val="auto"/>
          <w:sz w:val="28"/>
          <w:szCs w:val="28"/>
          <w:highlight w:val="none"/>
        </w:rPr>
      </w:pPr>
      <w:bookmarkStart w:id="259" w:name="_Toc22303_WPSOffice_Level1"/>
      <w:bookmarkStart w:id="260" w:name="_Toc12889_WPSOffice_Level1"/>
      <w:bookmarkStart w:id="261" w:name="_Toc13165_WPSOffice_Level1"/>
      <w:bookmarkStart w:id="262" w:name="_Toc2428_WPSOffice_Level1"/>
      <w:bookmarkStart w:id="263" w:name="_Toc11219_WPSOffice_Level1"/>
      <w:bookmarkStart w:id="264" w:name="_Toc15887_WPSOffice_Level1"/>
      <w:r>
        <w:rPr>
          <w:rFonts w:hint="eastAsia" w:ascii="Times New Roman" w:hAnsi="Times New Roman" w:eastAsia="黑体" w:cs="Times New Roman"/>
          <w:color w:val="auto"/>
          <w:sz w:val="28"/>
          <w:szCs w:val="28"/>
          <w:highlight w:val="none"/>
          <w:lang w:val="en-US" w:eastAsia="zh-CN"/>
        </w:rPr>
        <w:t>八</w:t>
      </w:r>
      <w:r>
        <w:rPr>
          <w:rFonts w:hint="default" w:ascii="Times New Roman" w:hAnsi="Times New Roman" w:eastAsia="黑体" w:cs="Times New Roman"/>
          <w:color w:val="auto"/>
          <w:sz w:val="28"/>
          <w:szCs w:val="28"/>
          <w:highlight w:val="none"/>
        </w:rPr>
        <w:t>、其它</w:t>
      </w:r>
      <w:bookmarkEnd w:id="259"/>
      <w:r>
        <w:rPr>
          <w:rFonts w:hint="default" w:ascii="Times New Roman" w:hAnsi="Times New Roman" w:eastAsia="黑体" w:cs="Times New Roman"/>
          <w:color w:val="auto"/>
          <w:sz w:val="28"/>
          <w:szCs w:val="28"/>
          <w:highlight w:val="none"/>
        </w:rPr>
        <w:t>材料</w:t>
      </w:r>
      <w:bookmarkEnd w:id="260"/>
      <w:bookmarkEnd w:id="261"/>
      <w:bookmarkEnd w:id="262"/>
      <w:bookmarkEnd w:id="263"/>
      <w:bookmarkEnd w:id="264"/>
    </w:p>
    <w:p>
      <w:pPr>
        <w:pStyle w:val="27"/>
        <w:jc w:val="left"/>
        <w:rPr>
          <w:rFonts w:hint="eastAsia" w:ascii="Times New Roman" w:hAnsi="Times New Roman"/>
          <w:color w:val="auto"/>
          <w:szCs w:val="28"/>
          <w:highlight w:val="none"/>
        </w:rPr>
      </w:pPr>
    </w:p>
    <w:p>
      <w:pPr>
        <w:pageBreakBefore w:val="0"/>
        <w:kinsoku/>
        <w:overflowPunct/>
        <w:bidi w:val="0"/>
        <w:spacing w:before="62" w:beforeLines="20" w:after="62" w:afterLines="20" w:line="560" w:lineRule="exact"/>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24"/>
          <w:szCs w:val="32"/>
          <w:highlight w:val="none"/>
          <w:lang w:eastAsia="zh-CN"/>
        </w:rPr>
        <w:t>供应商</w:t>
      </w:r>
      <w:r>
        <w:rPr>
          <w:rFonts w:hint="default" w:ascii="Times New Roman" w:hAnsi="Times New Roman" w:cs="Times New Roman"/>
          <w:color w:val="auto"/>
          <w:sz w:val="24"/>
          <w:szCs w:val="32"/>
          <w:highlight w:val="none"/>
          <w:lang w:eastAsia="zh-CN"/>
        </w:rPr>
        <w:t>自行制作格式</w:t>
      </w:r>
      <w:r>
        <w:rPr>
          <w:rFonts w:hint="default" w:ascii="Times New Roman" w:hAnsi="Times New Roman" w:eastAsia="仿宋_GB2312" w:cs="Times New Roman"/>
          <w:color w:val="auto"/>
          <w:sz w:val="32"/>
          <w:szCs w:val="32"/>
          <w:highlight w:val="none"/>
          <w:lang w:eastAsia="zh-CN"/>
        </w:rPr>
        <w:t>）</w:t>
      </w: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
        <w:rPr>
          <w:rFonts w:hint="default" w:ascii="Times New Roman" w:hAnsi="Times New Roman" w:eastAsia="仿宋_GB2312" w:cs="Times New Roman"/>
          <w:color w:val="auto"/>
          <w:sz w:val="32"/>
          <w:szCs w:val="32"/>
          <w:highlight w:val="none"/>
          <w:lang w:eastAsia="zh-CN"/>
        </w:rPr>
      </w:pPr>
    </w:p>
    <w:p>
      <w:pPr>
        <w:pStyle w:val="27"/>
        <w:jc w:val="left"/>
        <w:rPr>
          <w:rFonts w:hint="eastAsia" w:ascii="Times New Roman" w:hAnsi="Times New Roman" w:cs="Times New Roman"/>
          <w:b/>
          <w:bCs/>
          <w:color w:val="auto"/>
          <w:sz w:val="24"/>
          <w:szCs w:val="28"/>
          <w:highlight w:val="none"/>
          <w:lang w:val="en-US" w:eastAsia="zh-CN"/>
        </w:rPr>
      </w:pPr>
      <w:r>
        <w:rPr>
          <w:rFonts w:hint="eastAsia" w:ascii="Times New Roman" w:hAnsi="Times New Roman" w:cs="Times New Roman"/>
          <w:b/>
          <w:bCs/>
          <w:color w:val="auto"/>
          <w:sz w:val="24"/>
          <w:szCs w:val="28"/>
          <w:highlight w:val="none"/>
          <w:lang w:val="en-US" w:eastAsia="zh-CN"/>
        </w:rPr>
        <w:t>以下简表仅供供应商参考：</w:t>
      </w:r>
    </w:p>
    <w:p>
      <w:pPr>
        <w:pStyle w:val="27"/>
        <w:jc w:val="left"/>
        <w:rPr>
          <w:rFonts w:hint="eastAsia" w:ascii="Times New Roman" w:hAnsi="Times New Roman" w:cs="Times New Roman"/>
          <w:b/>
          <w:bCs/>
          <w:color w:val="auto"/>
          <w:sz w:val="24"/>
          <w:szCs w:val="28"/>
          <w:highlight w:val="none"/>
          <w:lang w:val="en-US" w:eastAsia="zh-CN"/>
        </w:rPr>
      </w:pP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80"/>
        <w:gridCol w:w="2574"/>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资产负债简表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日期:2021-09-30</w:t>
            </w:r>
          </w:p>
        </w:tc>
        <w:tc>
          <w:tcPr>
            <w:tcW w:w="1510" w:type="pct"/>
            <w:tcBorders>
              <w:top w:val="nil"/>
              <w:left w:val="nil"/>
              <w:bottom w:val="nil"/>
              <w:right w:val="nil"/>
            </w:tcBorders>
            <w:shd w:val="clear" w:color="auto" w:fill="auto"/>
            <w:noWrap/>
            <w:vAlign w:val="bottom"/>
          </w:tcPr>
          <w:p>
            <w:pPr>
              <w:rPr>
                <w:rFonts w:hint="eastAsia" w:ascii="Arial" w:hAnsi="Arial" w:cs="Arial"/>
                <w:i w:val="0"/>
                <w:iCs w:val="0"/>
                <w:color w:val="000000"/>
                <w:sz w:val="24"/>
                <w:szCs w:val="24"/>
                <w:u w:val="none"/>
              </w:rPr>
            </w:pPr>
          </w:p>
        </w:tc>
        <w:tc>
          <w:tcPr>
            <w:tcW w:w="109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安运校车</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肥西校车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流动资产：</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货币资金</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1208.04</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应收账款</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966.39</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预付账款</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46.84</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其他应收款</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8.44</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其他流动资产</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13.73</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流动资产合计</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2243.43</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非流动资产：</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固定资产原价</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2992.91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减：累计折旧</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941.10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固定资产净值</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2051.82</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非流动资产合计</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2051.82</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资产总计</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4295.25</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应付账款</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应付职工薪酬</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14.82</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应交税费</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应付利息</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13.18</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应付股利</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387.43</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其他应付款</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1196.34</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流动负债合计</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1728.33</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递延所得税负债</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116.92</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非流动负债合计</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116.92</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负债合计</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1845.25</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股东权益：</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实收资本（国有法人资本）</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2450.00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专项储备</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未分配利润</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股东权益合计</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2450.00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9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负债和股东权益总计</w:t>
            </w:r>
          </w:p>
        </w:tc>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4295.25</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1597.43</w:t>
            </w:r>
          </w:p>
        </w:tc>
      </w:tr>
    </w:tbl>
    <w:p>
      <w:pPr>
        <w:pStyle w:val="27"/>
        <w:jc w:val="left"/>
        <w:rPr>
          <w:rFonts w:hint="eastAsia" w:ascii="Times New Roman" w:hAnsi="Times New Roman" w:cs="Times New Roman"/>
          <w:b/>
          <w:bCs/>
          <w:color w:val="auto"/>
          <w:sz w:val="24"/>
          <w:szCs w:val="28"/>
          <w:highlight w:val="none"/>
          <w:lang w:val="en-US" w:eastAsia="zh-CN"/>
        </w:rPr>
      </w:pPr>
    </w:p>
    <w:p>
      <w:pPr>
        <w:pStyle w:val="27"/>
        <w:jc w:val="left"/>
        <w:rPr>
          <w:rFonts w:hint="default" w:ascii="Times New Roman" w:hAnsi="Times New Roman" w:cs="Times New Roman"/>
          <w:b/>
          <w:bCs/>
          <w:color w:val="auto"/>
          <w:sz w:val="24"/>
          <w:szCs w:val="28"/>
          <w:highlight w:val="none"/>
          <w:lang w:val="en-US" w:eastAsia="zh-CN"/>
        </w:rPr>
      </w:pPr>
      <w:r>
        <w:rPr>
          <w:rFonts w:hint="eastAsia" w:ascii="Times New Roman" w:hAnsi="Times New Roman" w:cs="Times New Roman"/>
          <w:b/>
          <w:bCs/>
          <w:color w:val="auto"/>
          <w:sz w:val="24"/>
          <w:szCs w:val="28"/>
          <w:highlight w:val="none"/>
          <w:lang w:val="en-US" w:eastAsia="zh-CN"/>
        </w:rPr>
        <w:t>注：固定资产基本为车辆与办公设备</w:t>
      </w:r>
    </w:p>
    <w:p>
      <w:pPr>
        <w:pStyle w:val="27"/>
        <w:jc w:val="left"/>
        <w:rPr>
          <w:rFonts w:hint="eastAsia" w:ascii="Times New Roman" w:hAnsi="Times New Roman" w:cs="Times New Roman"/>
          <w:b/>
          <w:bCs/>
          <w:color w:val="auto"/>
          <w:sz w:val="24"/>
          <w:szCs w:val="28"/>
          <w:highlight w:val="none"/>
          <w:lang w:val="en-US" w:eastAsia="zh-CN"/>
        </w:rPr>
      </w:pPr>
    </w:p>
    <w:p>
      <w:pPr>
        <w:pStyle w:val="27"/>
        <w:jc w:val="left"/>
        <w:rPr>
          <w:rFonts w:hint="eastAsia" w:ascii="Times New Roman" w:hAnsi="Times New Roman" w:cs="Times New Roman"/>
          <w:b/>
          <w:bCs/>
          <w:color w:val="auto"/>
          <w:sz w:val="24"/>
          <w:szCs w:val="28"/>
          <w:highlight w:val="none"/>
          <w:lang w:val="en-US" w:eastAsia="zh-CN"/>
        </w:rPr>
      </w:pPr>
    </w:p>
    <w:p>
      <w:pPr>
        <w:pStyle w:val="27"/>
        <w:jc w:val="left"/>
        <w:rPr>
          <w:rFonts w:hint="eastAsia" w:ascii="Times New Roman" w:hAnsi="Times New Roman" w:cs="Times New Roman"/>
          <w:b/>
          <w:bCs/>
          <w:color w:val="auto"/>
          <w:sz w:val="24"/>
          <w:szCs w:val="28"/>
          <w:highlight w:val="none"/>
          <w:lang w:val="en-US" w:eastAsia="zh-CN"/>
        </w:rPr>
      </w:pPr>
    </w:p>
    <w:p>
      <w:pPr>
        <w:pStyle w:val="27"/>
        <w:jc w:val="left"/>
        <w:rPr>
          <w:rFonts w:hint="eastAsia" w:ascii="Times New Roman" w:hAnsi="Times New Roman" w:cs="Times New Roman"/>
          <w:b/>
          <w:bCs/>
          <w:color w:val="auto"/>
          <w:sz w:val="24"/>
          <w:szCs w:val="28"/>
          <w:highlight w:val="none"/>
          <w:lang w:val="en-US" w:eastAsia="zh-CN"/>
        </w:rPr>
      </w:pPr>
    </w:p>
    <w:p>
      <w:pPr>
        <w:spacing w:line="400" w:lineRule="atLeast"/>
        <w:ind w:firstLine="420" w:firstLineChars="200"/>
        <w:jc w:val="left"/>
        <w:rPr>
          <w:rFonts w:hint="default" w:eastAsiaTheme="minorEastAsia"/>
          <w:color w:val="auto"/>
          <w:highlight w:val="none"/>
          <w:lang w:val="en-US" w:eastAsia="zh-CN"/>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4"/>
                            </w:rPr>
                            <w:instrText xml:space="preserve"> PAGE </w:instrText>
                          </w:r>
                          <w:r>
                            <w:fldChar w:fldCharType="separate"/>
                          </w:r>
                          <w:r>
                            <w:rPr>
                              <w:rStyle w:val="24"/>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24"/>
                      </w:rPr>
                      <w:instrText xml:space="preserve"> PAGE </w:instrText>
                    </w:r>
                    <w:r>
                      <w:fldChar w:fldCharType="separate"/>
                    </w:r>
                    <w:r>
                      <w:rPr>
                        <w:rStyle w:val="24"/>
                      </w:rPr>
                      <w:t>- 131 -</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01D7B5A"/>
    <w:multiLevelType w:val="singleLevel"/>
    <w:tmpl w:val="C01D7B5A"/>
    <w:lvl w:ilvl="0" w:tentative="0">
      <w:start w:val="2"/>
      <w:numFmt w:val="decimal"/>
      <w:suff w:val="nothing"/>
      <w:lvlText w:val="（%1）"/>
      <w:lvlJc w:val="left"/>
    </w:lvl>
  </w:abstractNum>
  <w:abstractNum w:abstractNumId="2">
    <w:nsid w:val="2E95D47B"/>
    <w:multiLevelType w:val="singleLevel"/>
    <w:tmpl w:val="2E95D47B"/>
    <w:lvl w:ilvl="0" w:tentative="0">
      <w:start w:val="1"/>
      <w:numFmt w:val="decimal"/>
      <w:pStyle w:val="6"/>
      <w:suff w:val="nothing"/>
      <w:lvlText w:val="%1．"/>
      <w:lvlJc w:val="left"/>
      <w:pPr>
        <w:ind w:left="17" w:firstLine="400"/>
      </w:pPr>
      <w:rPr>
        <w:rFont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6DE8"/>
    <w:rsid w:val="001659E6"/>
    <w:rsid w:val="00286930"/>
    <w:rsid w:val="002D213F"/>
    <w:rsid w:val="003C6A6E"/>
    <w:rsid w:val="00466F51"/>
    <w:rsid w:val="004932B8"/>
    <w:rsid w:val="00512041"/>
    <w:rsid w:val="00564145"/>
    <w:rsid w:val="005B1C62"/>
    <w:rsid w:val="00774C23"/>
    <w:rsid w:val="007F0E50"/>
    <w:rsid w:val="00A74B32"/>
    <w:rsid w:val="00AE1115"/>
    <w:rsid w:val="00AF0DA2"/>
    <w:rsid w:val="00B56F3C"/>
    <w:rsid w:val="00F43DE7"/>
    <w:rsid w:val="00FA1044"/>
    <w:rsid w:val="00FD2626"/>
    <w:rsid w:val="01082DCE"/>
    <w:rsid w:val="01196377"/>
    <w:rsid w:val="011A27E6"/>
    <w:rsid w:val="011B4B0A"/>
    <w:rsid w:val="011D6ED0"/>
    <w:rsid w:val="013C7065"/>
    <w:rsid w:val="014D641B"/>
    <w:rsid w:val="01604B65"/>
    <w:rsid w:val="01631629"/>
    <w:rsid w:val="016A3995"/>
    <w:rsid w:val="01767A67"/>
    <w:rsid w:val="01785DEA"/>
    <w:rsid w:val="018B2605"/>
    <w:rsid w:val="019312E0"/>
    <w:rsid w:val="0195715E"/>
    <w:rsid w:val="019D2FC7"/>
    <w:rsid w:val="019E058F"/>
    <w:rsid w:val="01B82FCB"/>
    <w:rsid w:val="01BC5540"/>
    <w:rsid w:val="01BD17FD"/>
    <w:rsid w:val="01E22FC9"/>
    <w:rsid w:val="01ED4448"/>
    <w:rsid w:val="01F176F8"/>
    <w:rsid w:val="02047B14"/>
    <w:rsid w:val="021A334D"/>
    <w:rsid w:val="02241CA7"/>
    <w:rsid w:val="022A2E6A"/>
    <w:rsid w:val="022C0382"/>
    <w:rsid w:val="022D7E5C"/>
    <w:rsid w:val="02454DC6"/>
    <w:rsid w:val="02460711"/>
    <w:rsid w:val="024B086A"/>
    <w:rsid w:val="024C3FDE"/>
    <w:rsid w:val="02521072"/>
    <w:rsid w:val="025C2FF3"/>
    <w:rsid w:val="0260580C"/>
    <w:rsid w:val="026F50F7"/>
    <w:rsid w:val="0292228F"/>
    <w:rsid w:val="029D3473"/>
    <w:rsid w:val="02A843B9"/>
    <w:rsid w:val="02AB5AF9"/>
    <w:rsid w:val="02AF018D"/>
    <w:rsid w:val="02B17534"/>
    <w:rsid w:val="02C148EA"/>
    <w:rsid w:val="02D45050"/>
    <w:rsid w:val="02F11F86"/>
    <w:rsid w:val="031402A0"/>
    <w:rsid w:val="034C55E4"/>
    <w:rsid w:val="03530EF0"/>
    <w:rsid w:val="03666726"/>
    <w:rsid w:val="036A6013"/>
    <w:rsid w:val="036B0042"/>
    <w:rsid w:val="03921536"/>
    <w:rsid w:val="03957CCA"/>
    <w:rsid w:val="03AA61FF"/>
    <w:rsid w:val="03BA168E"/>
    <w:rsid w:val="03DE6BBF"/>
    <w:rsid w:val="03EA0F31"/>
    <w:rsid w:val="03EC548F"/>
    <w:rsid w:val="03FB6B06"/>
    <w:rsid w:val="04233E93"/>
    <w:rsid w:val="04266180"/>
    <w:rsid w:val="04295DA0"/>
    <w:rsid w:val="04352FAD"/>
    <w:rsid w:val="043D07A0"/>
    <w:rsid w:val="043F3186"/>
    <w:rsid w:val="04533F12"/>
    <w:rsid w:val="045C354F"/>
    <w:rsid w:val="046B7205"/>
    <w:rsid w:val="047B3AB4"/>
    <w:rsid w:val="047C0CFA"/>
    <w:rsid w:val="047C234D"/>
    <w:rsid w:val="048328A9"/>
    <w:rsid w:val="04A52713"/>
    <w:rsid w:val="04A61CAB"/>
    <w:rsid w:val="04B66E9B"/>
    <w:rsid w:val="04BE31D4"/>
    <w:rsid w:val="04DF02F5"/>
    <w:rsid w:val="04E8337D"/>
    <w:rsid w:val="04EA65EC"/>
    <w:rsid w:val="04F54297"/>
    <w:rsid w:val="04F76AAC"/>
    <w:rsid w:val="04F95D73"/>
    <w:rsid w:val="050022AA"/>
    <w:rsid w:val="05162632"/>
    <w:rsid w:val="05474D67"/>
    <w:rsid w:val="057351EA"/>
    <w:rsid w:val="059211F2"/>
    <w:rsid w:val="059761EF"/>
    <w:rsid w:val="059F2433"/>
    <w:rsid w:val="05A12F8F"/>
    <w:rsid w:val="05B16949"/>
    <w:rsid w:val="05C614B1"/>
    <w:rsid w:val="05D5014A"/>
    <w:rsid w:val="05EC3DBF"/>
    <w:rsid w:val="05F90297"/>
    <w:rsid w:val="06084AA1"/>
    <w:rsid w:val="060C39DD"/>
    <w:rsid w:val="061006D5"/>
    <w:rsid w:val="06227012"/>
    <w:rsid w:val="06291D77"/>
    <w:rsid w:val="062929E2"/>
    <w:rsid w:val="064B1FD0"/>
    <w:rsid w:val="064D043A"/>
    <w:rsid w:val="06510831"/>
    <w:rsid w:val="0655574A"/>
    <w:rsid w:val="066756C3"/>
    <w:rsid w:val="066E7995"/>
    <w:rsid w:val="0671119D"/>
    <w:rsid w:val="068C07A0"/>
    <w:rsid w:val="069C2279"/>
    <w:rsid w:val="06C75E0F"/>
    <w:rsid w:val="06CD2659"/>
    <w:rsid w:val="06D9617D"/>
    <w:rsid w:val="06E209B7"/>
    <w:rsid w:val="06E2459D"/>
    <w:rsid w:val="06E96BF0"/>
    <w:rsid w:val="06EE5449"/>
    <w:rsid w:val="071D3AEF"/>
    <w:rsid w:val="071F775B"/>
    <w:rsid w:val="0725414F"/>
    <w:rsid w:val="073E4D0F"/>
    <w:rsid w:val="07914D92"/>
    <w:rsid w:val="07B724BE"/>
    <w:rsid w:val="07C93DD2"/>
    <w:rsid w:val="07F10BD9"/>
    <w:rsid w:val="07F33261"/>
    <w:rsid w:val="07FB3039"/>
    <w:rsid w:val="07FC2047"/>
    <w:rsid w:val="080A4F8B"/>
    <w:rsid w:val="081D312D"/>
    <w:rsid w:val="082217C8"/>
    <w:rsid w:val="08290DFC"/>
    <w:rsid w:val="082D031A"/>
    <w:rsid w:val="083227D0"/>
    <w:rsid w:val="083E61F6"/>
    <w:rsid w:val="08441F41"/>
    <w:rsid w:val="084762C4"/>
    <w:rsid w:val="08662069"/>
    <w:rsid w:val="0871359F"/>
    <w:rsid w:val="08762289"/>
    <w:rsid w:val="088909C5"/>
    <w:rsid w:val="08892C5F"/>
    <w:rsid w:val="08A45B58"/>
    <w:rsid w:val="08A75E9F"/>
    <w:rsid w:val="08B51EFD"/>
    <w:rsid w:val="08C520FD"/>
    <w:rsid w:val="08C644EB"/>
    <w:rsid w:val="08CB31B1"/>
    <w:rsid w:val="08CC0134"/>
    <w:rsid w:val="08DE0702"/>
    <w:rsid w:val="08E36B16"/>
    <w:rsid w:val="08EB2A28"/>
    <w:rsid w:val="09033D88"/>
    <w:rsid w:val="091033C7"/>
    <w:rsid w:val="092454AE"/>
    <w:rsid w:val="094350D2"/>
    <w:rsid w:val="094675D1"/>
    <w:rsid w:val="09520EC1"/>
    <w:rsid w:val="09522E65"/>
    <w:rsid w:val="096126C2"/>
    <w:rsid w:val="09630EDC"/>
    <w:rsid w:val="09904735"/>
    <w:rsid w:val="09A07815"/>
    <w:rsid w:val="09A1577F"/>
    <w:rsid w:val="09B1743D"/>
    <w:rsid w:val="09BF3C5F"/>
    <w:rsid w:val="09DD1871"/>
    <w:rsid w:val="09EC3543"/>
    <w:rsid w:val="0A017749"/>
    <w:rsid w:val="0A31325F"/>
    <w:rsid w:val="0A433EA3"/>
    <w:rsid w:val="0A4C0A53"/>
    <w:rsid w:val="0A562E5C"/>
    <w:rsid w:val="0A595E3B"/>
    <w:rsid w:val="0A6D4428"/>
    <w:rsid w:val="0A70103F"/>
    <w:rsid w:val="0A7A4A29"/>
    <w:rsid w:val="0A830A8F"/>
    <w:rsid w:val="0AA5382A"/>
    <w:rsid w:val="0AB1314A"/>
    <w:rsid w:val="0AB92708"/>
    <w:rsid w:val="0AB94B2B"/>
    <w:rsid w:val="0ADB488F"/>
    <w:rsid w:val="0ADF4740"/>
    <w:rsid w:val="0AF404CA"/>
    <w:rsid w:val="0B237F0C"/>
    <w:rsid w:val="0B25655D"/>
    <w:rsid w:val="0B372831"/>
    <w:rsid w:val="0B3B41A4"/>
    <w:rsid w:val="0B460401"/>
    <w:rsid w:val="0B466158"/>
    <w:rsid w:val="0B765704"/>
    <w:rsid w:val="0B7D0BA2"/>
    <w:rsid w:val="0B831417"/>
    <w:rsid w:val="0B976282"/>
    <w:rsid w:val="0BAA0921"/>
    <w:rsid w:val="0BAB4B61"/>
    <w:rsid w:val="0BBE3C8E"/>
    <w:rsid w:val="0BD75140"/>
    <w:rsid w:val="0BD821CA"/>
    <w:rsid w:val="0BE00F68"/>
    <w:rsid w:val="0C02238F"/>
    <w:rsid w:val="0C0A4650"/>
    <w:rsid w:val="0C122E87"/>
    <w:rsid w:val="0C142061"/>
    <w:rsid w:val="0C25115F"/>
    <w:rsid w:val="0C30164C"/>
    <w:rsid w:val="0C4909C1"/>
    <w:rsid w:val="0C54553C"/>
    <w:rsid w:val="0C6153DA"/>
    <w:rsid w:val="0C680BDD"/>
    <w:rsid w:val="0C715D36"/>
    <w:rsid w:val="0C72723E"/>
    <w:rsid w:val="0C8830F0"/>
    <w:rsid w:val="0C8E192D"/>
    <w:rsid w:val="0C915D6B"/>
    <w:rsid w:val="0C9F0011"/>
    <w:rsid w:val="0CA8035A"/>
    <w:rsid w:val="0CAA0BCF"/>
    <w:rsid w:val="0CAD361F"/>
    <w:rsid w:val="0CAD70A0"/>
    <w:rsid w:val="0CCA7A68"/>
    <w:rsid w:val="0CE01F68"/>
    <w:rsid w:val="0CE45ABA"/>
    <w:rsid w:val="0CE55D2A"/>
    <w:rsid w:val="0CEA1161"/>
    <w:rsid w:val="0D0E1A16"/>
    <w:rsid w:val="0D10611A"/>
    <w:rsid w:val="0D204464"/>
    <w:rsid w:val="0D245D5D"/>
    <w:rsid w:val="0D2A5D78"/>
    <w:rsid w:val="0D4D2A59"/>
    <w:rsid w:val="0D643C93"/>
    <w:rsid w:val="0D812044"/>
    <w:rsid w:val="0D840310"/>
    <w:rsid w:val="0D8F2ED2"/>
    <w:rsid w:val="0D935001"/>
    <w:rsid w:val="0DA75F7E"/>
    <w:rsid w:val="0DBA39FC"/>
    <w:rsid w:val="0DCE19B4"/>
    <w:rsid w:val="0DD518D6"/>
    <w:rsid w:val="0E14052A"/>
    <w:rsid w:val="0E1B588D"/>
    <w:rsid w:val="0E226104"/>
    <w:rsid w:val="0E265F28"/>
    <w:rsid w:val="0E2873E9"/>
    <w:rsid w:val="0E744B2D"/>
    <w:rsid w:val="0E8D05E0"/>
    <w:rsid w:val="0E9B3C63"/>
    <w:rsid w:val="0EB4636E"/>
    <w:rsid w:val="0EB75DCA"/>
    <w:rsid w:val="0EC81177"/>
    <w:rsid w:val="0ED12EB4"/>
    <w:rsid w:val="0ED16605"/>
    <w:rsid w:val="0ED97B37"/>
    <w:rsid w:val="0EDB5D5A"/>
    <w:rsid w:val="0EE3071C"/>
    <w:rsid w:val="0EED2DF2"/>
    <w:rsid w:val="0EF83DB8"/>
    <w:rsid w:val="0F3F6E9A"/>
    <w:rsid w:val="0F401FA4"/>
    <w:rsid w:val="0F4F57E8"/>
    <w:rsid w:val="0F6C3B60"/>
    <w:rsid w:val="0F6F6315"/>
    <w:rsid w:val="0F7150A0"/>
    <w:rsid w:val="0F74541D"/>
    <w:rsid w:val="0F7A125F"/>
    <w:rsid w:val="0F9E1CEC"/>
    <w:rsid w:val="0FB81B5B"/>
    <w:rsid w:val="0FD00E8A"/>
    <w:rsid w:val="0FD14908"/>
    <w:rsid w:val="0FE65A61"/>
    <w:rsid w:val="0FF6654F"/>
    <w:rsid w:val="10090199"/>
    <w:rsid w:val="100E316C"/>
    <w:rsid w:val="10337DDD"/>
    <w:rsid w:val="103656D1"/>
    <w:rsid w:val="103C7917"/>
    <w:rsid w:val="10564A8B"/>
    <w:rsid w:val="1058602D"/>
    <w:rsid w:val="10795C93"/>
    <w:rsid w:val="108B3AFA"/>
    <w:rsid w:val="10B15280"/>
    <w:rsid w:val="10CF164C"/>
    <w:rsid w:val="10D50461"/>
    <w:rsid w:val="10E24CD8"/>
    <w:rsid w:val="10F15163"/>
    <w:rsid w:val="10F26CDC"/>
    <w:rsid w:val="11163C77"/>
    <w:rsid w:val="11217C34"/>
    <w:rsid w:val="1139732F"/>
    <w:rsid w:val="114A7510"/>
    <w:rsid w:val="114C67B8"/>
    <w:rsid w:val="115A53BC"/>
    <w:rsid w:val="116479F0"/>
    <w:rsid w:val="11696085"/>
    <w:rsid w:val="117A2D8F"/>
    <w:rsid w:val="118E75B9"/>
    <w:rsid w:val="1194155A"/>
    <w:rsid w:val="119C1623"/>
    <w:rsid w:val="119E3DE4"/>
    <w:rsid w:val="11AB3509"/>
    <w:rsid w:val="11AD363C"/>
    <w:rsid w:val="11B5299E"/>
    <w:rsid w:val="11E52624"/>
    <w:rsid w:val="11E8124D"/>
    <w:rsid w:val="11F9333E"/>
    <w:rsid w:val="11FE31AD"/>
    <w:rsid w:val="121466AA"/>
    <w:rsid w:val="122915A6"/>
    <w:rsid w:val="122B6577"/>
    <w:rsid w:val="122B76A8"/>
    <w:rsid w:val="12343761"/>
    <w:rsid w:val="123756D1"/>
    <w:rsid w:val="123B7167"/>
    <w:rsid w:val="123E5777"/>
    <w:rsid w:val="124E5F2C"/>
    <w:rsid w:val="125535EC"/>
    <w:rsid w:val="12597E87"/>
    <w:rsid w:val="125B3739"/>
    <w:rsid w:val="126943EE"/>
    <w:rsid w:val="12865675"/>
    <w:rsid w:val="128D65DE"/>
    <w:rsid w:val="129A697A"/>
    <w:rsid w:val="12A94464"/>
    <w:rsid w:val="12B92200"/>
    <w:rsid w:val="12C6189A"/>
    <w:rsid w:val="12CE785B"/>
    <w:rsid w:val="12D16BCB"/>
    <w:rsid w:val="12DC2AAB"/>
    <w:rsid w:val="12E74E3F"/>
    <w:rsid w:val="12ED7F8F"/>
    <w:rsid w:val="12F04674"/>
    <w:rsid w:val="12F23083"/>
    <w:rsid w:val="12FE1AE7"/>
    <w:rsid w:val="130C6CE3"/>
    <w:rsid w:val="13190BA4"/>
    <w:rsid w:val="131B5579"/>
    <w:rsid w:val="131E6377"/>
    <w:rsid w:val="13293F8A"/>
    <w:rsid w:val="132A5815"/>
    <w:rsid w:val="13356A71"/>
    <w:rsid w:val="133E225B"/>
    <w:rsid w:val="133F1A3D"/>
    <w:rsid w:val="134854F2"/>
    <w:rsid w:val="13594F2D"/>
    <w:rsid w:val="13714DE1"/>
    <w:rsid w:val="1395604C"/>
    <w:rsid w:val="13A70B15"/>
    <w:rsid w:val="13B72E13"/>
    <w:rsid w:val="13BA32C6"/>
    <w:rsid w:val="13C43ABA"/>
    <w:rsid w:val="13DE4A24"/>
    <w:rsid w:val="14003B68"/>
    <w:rsid w:val="140137CB"/>
    <w:rsid w:val="14077165"/>
    <w:rsid w:val="140A4876"/>
    <w:rsid w:val="14231FAC"/>
    <w:rsid w:val="14264818"/>
    <w:rsid w:val="142C45C0"/>
    <w:rsid w:val="14523ED2"/>
    <w:rsid w:val="145378D4"/>
    <w:rsid w:val="1463315F"/>
    <w:rsid w:val="14664519"/>
    <w:rsid w:val="146F09C5"/>
    <w:rsid w:val="147441B4"/>
    <w:rsid w:val="14745B8C"/>
    <w:rsid w:val="14832530"/>
    <w:rsid w:val="14936D19"/>
    <w:rsid w:val="14B46A8F"/>
    <w:rsid w:val="14F33B67"/>
    <w:rsid w:val="151E62FD"/>
    <w:rsid w:val="151F03B5"/>
    <w:rsid w:val="15271BBC"/>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5D36D5"/>
    <w:rsid w:val="166867F9"/>
    <w:rsid w:val="16746A12"/>
    <w:rsid w:val="16763172"/>
    <w:rsid w:val="167E2633"/>
    <w:rsid w:val="168431DE"/>
    <w:rsid w:val="168C763B"/>
    <w:rsid w:val="1690501F"/>
    <w:rsid w:val="16AA3AF0"/>
    <w:rsid w:val="16B01790"/>
    <w:rsid w:val="16B22F9A"/>
    <w:rsid w:val="16D147CF"/>
    <w:rsid w:val="16DB2D50"/>
    <w:rsid w:val="16DE5569"/>
    <w:rsid w:val="16E8299C"/>
    <w:rsid w:val="16F40010"/>
    <w:rsid w:val="16FB1042"/>
    <w:rsid w:val="17096A52"/>
    <w:rsid w:val="170A608F"/>
    <w:rsid w:val="17176EC0"/>
    <w:rsid w:val="171A22E9"/>
    <w:rsid w:val="17310FE9"/>
    <w:rsid w:val="173213AE"/>
    <w:rsid w:val="1735048C"/>
    <w:rsid w:val="173C70F5"/>
    <w:rsid w:val="174206F3"/>
    <w:rsid w:val="17543035"/>
    <w:rsid w:val="1761165F"/>
    <w:rsid w:val="176302F9"/>
    <w:rsid w:val="176B4C2E"/>
    <w:rsid w:val="17912DBB"/>
    <w:rsid w:val="179E2BB2"/>
    <w:rsid w:val="17A31E57"/>
    <w:rsid w:val="17A41A09"/>
    <w:rsid w:val="17BE7705"/>
    <w:rsid w:val="17CC0594"/>
    <w:rsid w:val="17DE1931"/>
    <w:rsid w:val="17E43CA4"/>
    <w:rsid w:val="1803234F"/>
    <w:rsid w:val="18093E43"/>
    <w:rsid w:val="181F7B0D"/>
    <w:rsid w:val="182D08CD"/>
    <w:rsid w:val="183412E3"/>
    <w:rsid w:val="184D7361"/>
    <w:rsid w:val="18611ADF"/>
    <w:rsid w:val="18660D83"/>
    <w:rsid w:val="18673E19"/>
    <w:rsid w:val="188F0361"/>
    <w:rsid w:val="18A34D8C"/>
    <w:rsid w:val="18AD0BE1"/>
    <w:rsid w:val="18B619A6"/>
    <w:rsid w:val="18BB43F9"/>
    <w:rsid w:val="18BD2A66"/>
    <w:rsid w:val="18C13AC1"/>
    <w:rsid w:val="18D119EE"/>
    <w:rsid w:val="190524A1"/>
    <w:rsid w:val="19111C94"/>
    <w:rsid w:val="1929734C"/>
    <w:rsid w:val="193809C2"/>
    <w:rsid w:val="194361A3"/>
    <w:rsid w:val="194A79C2"/>
    <w:rsid w:val="194E641E"/>
    <w:rsid w:val="19651738"/>
    <w:rsid w:val="198365E2"/>
    <w:rsid w:val="19976995"/>
    <w:rsid w:val="19AE61A3"/>
    <w:rsid w:val="19B044DF"/>
    <w:rsid w:val="19FA5475"/>
    <w:rsid w:val="19FC6A1D"/>
    <w:rsid w:val="1A110767"/>
    <w:rsid w:val="1A1964F4"/>
    <w:rsid w:val="1A3146DE"/>
    <w:rsid w:val="1A576AE8"/>
    <w:rsid w:val="1A5A4E2D"/>
    <w:rsid w:val="1A613F40"/>
    <w:rsid w:val="1A6450AE"/>
    <w:rsid w:val="1A6F3D1D"/>
    <w:rsid w:val="1A725422"/>
    <w:rsid w:val="1A742AE7"/>
    <w:rsid w:val="1A851E5E"/>
    <w:rsid w:val="1A917706"/>
    <w:rsid w:val="1A976D8E"/>
    <w:rsid w:val="1A9858D0"/>
    <w:rsid w:val="1A9A00BD"/>
    <w:rsid w:val="1A9F3526"/>
    <w:rsid w:val="1AB21A2F"/>
    <w:rsid w:val="1AB60854"/>
    <w:rsid w:val="1AB62259"/>
    <w:rsid w:val="1AB8567E"/>
    <w:rsid w:val="1ABF6389"/>
    <w:rsid w:val="1ADB5923"/>
    <w:rsid w:val="1ADF24BC"/>
    <w:rsid w:val="1AFB2F34"/>
    <w:rsid w:val="1B0E1682"/>
    <w:rsid w:val="1B111758"/>
    <w:rsid w:val="1B142E41"/>
    <w:rsid w:val="1B1C4A6C"/>
    <w:rsid w:val="1B1F0131"/>
    <w:rsid w:val="1B2372F3"/>
    <w:rsid w:val="1B2709C3"/>
    <w:rsid w:val="1B2C2EBB"/>
    <w:rsid w:val="1B300A8F"/>
    <w:rsid w:val="1B3028D7"/>
    <w:rsid w:val="1B323C66"/>
    <w:rsid w:val="1B344A57"/>
    <w:rsid w:val="1B364075"/>
    <w:rsid w:val="1B387860"/>
    <w:rsid w:val="1B5A266B"/>
    <w:rsid w:val="1B6F3157"/>
    <w:rsid w:val="1B745152"/>
    <w:rsid w:val="1B763A15"/>
    <w:rsid w:val="1B941FF2"/>
    <w:rsid w:val="1B9B1BE0"/>
    <w:rsid w:val="1B9F1506"/>
    <w:rsid w:val="1BB019DC"/>
    <w:rsid w:val="1BB91E00"/>
    <w:rsid w:val="1BBE6445"/>
    <w:rsid w:val="1BC0329E"/>
    <w:rsid w:val="1BC863D0"/>
    <w:rsid w:val="1BCE69F7"/>
    <w:rsid w:val="1BEF1A51"/>
    <w:rsid w:val="1BF86F2C"/>
    <w:rsid w:val="1C01157A"/>
    <w:rsid w:val="1C195ADA"/>
    <w:rsid w:val="1C337FF5"/>
    <w:rsid w:val="1C3B4532"/>
    <w:rsid w:val="1C3F63C6"/>
    <w:rsid w:val="1C495A9B"/>
    <w:rsid w:val="1C4A4F18"/>
    <w:rsid w:val="1C4C62F2"/>
    <w:rsid w:val="1C6063BC"/>
    <w:rsid w:val="1C677760"/>
    <w:rsid w:val="1C737230"/>
    <w:rsid w:val="1C8342C9"/>
    <w:rsid w:val="1C835541"/>
    <w:rsid w:val="1CA63F16"/>
    <w:rsid w:val="1CA85F37"/>
    <w:rsid w:val="1CB63D17"/>
    <w:rsid w:val="1CB735C0"/>
    <w:rsid w:val="1CBE15B8"/>
    <w:rsid w:val="1CC70AAE"/>
    <w:rsid w:val="1CE55F09"/>
    <w:rsid w:val="1CE95744"/>
    <w:rsid w:val="1CF30708"/>
    <w:rsid w:val="1CF93C71"/>
    <w:rsid w:val="1CF97B60"/>
    <w:rsid w:val="1D030883"/>
    <w:rsid w:val="1D1D75F2"/>
    <w:rsid w:val="1D2C14BB"/>
    <w:rsid w:val="1D330136"/>
    <w:rsid w:val="1D450626"/>
    <w:rsid w:val="1D5039A9"/>
    <w:rsid w:val="1D52563A"/>
    <w:rsid w:val="1D670B14"/>
    <w:rsid w:val="1D8A3687"/>
    <w:rsid w:val="1D924EB5"/>
    <w:rsid w:val="1D9F65B1"/>
    <w:rsid w:val="1DA002EB"/>
    <w:rsid w:val="1DAE79C2"/>
    <w:rsid w:val="1DD7785D"/>
    <w:rsid w:val="1DE0242C"/>
    <w:rsid w:val="1DE02E8C"/>
    <w:rsid w:val="1DFB418B"/>
    <w:rsid w:val="1E061D8D"/>
    <w:rsid w:val="1E110AAE"/>
    <w:rsid w:val="1E1510B3"/>
    <w:rsid w:val="1E1B06D7"/>
    <w:rsid w:val="1E1D003B"/>
    <w:rsid w:val="1E213FB0"/>
    <w:rsid w:val="1E2A636A"/>
    <w:rsid w:val="1E2B5895"/>
    <w:rsid w:val="1E3F71AC"/>
    <w:rsid w:val="1E407FC7"/>
    <w:rsid w:val="1E484768"/>
    <w:rsid w:val="1E4946FB"/>
    <w:rsid w:val="1E4A65BA"/>
    <w:rsid w:val="1E506677"/>
    <w:rsid w:val="1E5A2DA3"/>
    <w:rsid w:val="1E611165"/>
    <w:rsid w:val="1E6C6427"/>
    <w:rsid w:val="1E7646AA"/>
    <w:rsid w:val="1E7F5D88"/>
    <w:rsid w:val="1E806E06"/>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60446"/>
    <w:rsid w:val="1F6A639E"/>
    <w:rsid w:val="1F6F6AE3"/>
    <w:rsid w:val="1F8132C8"/>
    <w:rsid w:val="1FA02744"/>
    <w:rsid w:val="1FAC011C"/>
    <w:rsid w:val="1FC24714"/>
    <w:rsid w:val="1FCC3990"/>
    <w:rsid w:val="1FEB532F"/>
    <w:rsid w:val="1FFD71DA"/>
    <w:rsid w:val="200C298F"/>
    <w:rsid w:val="201C54FE"/>
    <w:rsid w:val="201E562E"/>
    <w:rsid w:val="202A4D90"/>
    <w:rsid w:val="20435529"/>
    <w:rsid w:val="20517E69"/>
    <w:rsid w:val="20530F08"/>
    <w:rsid w:val="2066350B"/>
    <w:rsid w:val="208701DC"/>
    <w:rsid w:val="20942936"/>
    <w:rsid w:val="209C71B3"/>
    <w:rsid w:val="20AD1511"/>
    <w:rsid w:val="20AE71CD"/>
    <w:rsid w:val="20B63B8F"/>
    <w:rsid w:val="20C75587"/>
    <w:rsid w:val="20DD7EA1"/>
    <w:rsid w:val="20EC6F0D"/>
    <w:rsid w:val="20EF3849"/>
    <w:rsid w:val="21114D59"/>
    <w:rsid w:val="212707FC"/>
    <w:rsid w:val="2137738E"/>
    <w:rsid w:val="214C01FD"/>
    <w:rsid w:val="214D397F"/>
    <w:rsid w:val="216C2E25"/>
    <w:rsid w:val="216D73A5"/>
    <w:rsid w:val="2181475C"/>
    <w:rsid w:val="218D6398"/>
    <w:rsid w:val="21C614F6"/>
    <w:rsid w:val="21D57E5D"/>
    <w:rsid w:val="220B38D3"/>
    <w:rsid w:val="220F27AB"/>
    <w:rsid w:val="222114DC"/>
    <w:rsid w:val="223029AE"/>
    <w:rsid w:val="22441B96"/>
    <w:rsid w:val="224B1241"/>
    <w:rsid w:val="22565E31"/>
    <w:rsid w:val="226C24D9"/>
    <w:rsid w:val="227540C8"/>
    <w:rsid w:val="22A35B61"/>
    <w:rsid w:val="22C438D9"/>
    <w:rsid w:val="22C90127"/>
    <w:rsid w:val="22D008F7"/>
    <w:rsid w:val="22D42D6B"/>
    <w:rsid w:val="22DF5D82"/>
    <w:rsid w:val="22E67478"/>
    <w:rsid w:val="22E9418C"/>
    <w:rsid w:val="22FD581D"/>
    <w:rsid w:val="2309524F"/>
    <w:rsid w:val="231A6446"/>
    <w:rsid w:val="23200D04"/>
    <w:rsid w:val="23252F62"/>
    <w:rsid w:val="2329015A"/>
    <w:rsid w:val="233A4603"/>
    <w:rsid w:val="233D41F6"/>
    <w:rsid w:val="233E1D9D"/>
    <w:rsid w:val="23400E47"/>
    <w:rsid w:val="23471C6C"/>
    <w:rsid w:val="235A23F9"/>
    <w:rsid w:val="23690BF3"/>
    <w:rsid w:val="237048D0"/>
    <w:rsid w:val="237D208A"/>
    <w:rsid w:val="238A746E"/>
    <w:rsid w:val="23A70DB3"/>
    <w:rsid w:val="23D003FB"/>
    <w:rsid w:val="23E06FF0"/>
    <w:rsid w:val="23F26B67"/>
    <w:rsid w:val="2406241F"/>
    <w:rsid w:val="24175D30"/>
    <w:rsid w:val="24321DFA"/>
    <w:rsid w:val="24530C8F"/>
    <w:rsid w:val="24636547"/>
    <w:rsid w:val="2470600F"/>
    <w:rsid w:val="24717D47"/>
    <w:rsid w:val="249C788A"/>
    <w:rsid w:val="24B82B32"/>
    <w:rsid w:val="24BB6D5B"/>
    <w:rsid w:val="24C3202D"/>
    <w:rsid w:val="24DC6375"/>
    <w:rsid w:val="24F755BB"/>
    <w:rsid w:val="24FA5375"/>
    <w:rsid w:val="25167458"/>
    <w:rsid w:val="251E581D"/>
    <w:rsid w:val="252A368C"/>
    <w:rsid w:val="25306483"/>
    <w:rsid w:val="253317B8"/>
    <w:rsid w:val="2537641D"/>
    <w:rsid w:val="253C3EF7"/>
    <w:rsid w:val="2558795E"/>
    <w:rsid w:val="255E089E"/>
    <w:rsid w:val="256717C8"/>
    <w:rsid w:val="257F5882"/>
    <w:rsid w:val="25987884"/>
    <w:rsid w:val="25AC19DF"/>
    <w:rsid w:val="25BF330D"/>
    <w:rsid w:val="25C27A7C"/>
    <w:rsid w:val="25C76039"/>
    <w:rsid w:val="25E31DB1"/>
    <w:rsid w:val="25F341F9"/>
    <w:rsid w:val="25FD4EFD"/>
    <w:rsid w:val="2603678D"/>
    <w:rsid w:val="26050C41"/>
    <w:rsid w:val="261A0D6A"/>
    <w:rsid w:val="261F1754"/>
    <w:rsid w:val="263F4733"/>
    <w:rsid w:val="264826D8"/>
    <w:rsid w:val="26486C62"/>
    <w:rsid w:val="26581526"/>
    <w:rsid w:val="26753F5F"/>
    <w:rsid w:val="26845C6C"/>
    <w:rsid w:val="26873841"/>
    <w:rsid w:val="269408C3"/>
    <w:rsid w:val="26A244E0"/>
    <w:rsid w:val="26AF5A72"/>
    <w:rsid w:val="26BE55EA"/>
    <w:rsid w:val="26C35476"/>
    <w:rsid w:val="26C762DB"/>
    <w:rsid w:val="26DC20E5"/>
    <w:rsid w:val="26F97745"/>
    <w:rsid w:val="270E3585"/>
    <w:rsid w:val="27361586"/>
    <w:rsid w:val="274B353E"/>
    <w:rsid w:val="27524FD4"/>
    <w:rsid w:val="275319F4"/>
    <w:rsid w:val="27613BAA"/>
    <w:rsid w:val="276A2C20"/>
    <w:rsid w:val="276E6872"/>
    <w:rsid w:val="278E3101"/>
    <w:rsid w:val="27941CFF"/>
    <w:rsid w:val="27A458E7"/>
    <w:rsid w:val="27BC1DF8"/>
    <w:rsid w:val="27DD7C53"/>
    <w:rsid w:val="27F65A60"/>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8FD5293"/>
    <w:rsid w:val="29001D45"/>
    <w:rsid w:val="290D0C20"/>
    <w:rsid w:val="29154A5F"/>
    <w:rsid w:val="29162105"/>
    <w:rsid w:val="291D6CFF"/>
    <w:rsid w:val="291E564E"/>
    <w:rsid w:val="293209F6"/>
    <w:rsid w:val="293D4AAA"/>
    <w:rsid w:val="29454998"/>
    <w:rsid w:val="29534671"/>
    <w:rsid w:val="29741CFA"/>
    <w:rsid w:val="297840D8"/>
    <w:rsid w:val="297C2E49"/>
    <w:rsid w:val="29941624"/>
    <w:rsid w:val="299554BA"/>
    <w:rsid w:val="29956056"/>
    <w:rsid w:val="29AA3C23"/>
    <w:rsid w:val="29AF561F"/>
    <w:rsid w:val="29BF59D6"/>
    <w:rsid w:val="29C53546"/>
    <w:rsid w:val="29C941A2"/>
    <w:rsid w:val="29EB49C9"/>
    <w:rsid w:val="29EF3FB8"/>
    <w:rsid w:val="29F12286"/>
    <w:rsid w:val="29FB2966"/>
    <w:rsid w:val="2A1D7695"/>
    <w:rsid w:val="2A291720"/>
    <w:rsid w:val="2A2B2E5B"/>
    <w:rsid w:val="2A37472F"/>
    <w:rsid w:val="2A3A63BF"/>
    <w:rsid w:val="2A411009"/>
    <w:rsid w:val="2A48150B"/>
    <w:rsid w:val="2A4C0A1A"/>
    <w:rsid w:val="2A4C6A3D"/>
    <w:rsid w:val="2A633D38"/>
    <w:rsid w:val="2A655AFF"/>
    <w:rsid w:val="2A715DEA"/>
    <w:rsid w:val="2A8A1818"/>
    <w:rsid w:val="2A97631D"/>
    <w:rsid w:val="2AB4054B"/>
    <w:rsid w:val="2AB843C9"/>
    <w:rsid w:val="2AD307BD"/>
    <w:rsid w:val="2AD96DF8"/>
    <w:rsid w:val="2AEA4C38"/>
    <w:rsid w:val="2AF55F76"/>
    <w:rsid w:val="2AFE4484"/>
    <w:rsid w:val="2AFE46B0"/>
    <w:rsid w:val="2B073FBC"/>
    <w:rsid w:val="2B0C18DB"/>
    <w:rsid w:val="2B2007DD"/>
    <w:rsid w:val="2B22095A"/>
    <w:rsid w:val="2B326508"/>
    <w:rsid w:val="2B392180"/>
    <w:rsid w:val="2B3C1D66"/>
    <w:rsid w:val="2B3E28EB"/>
    <w:rsid w:val="2B430D79"/>
    <w:rsid w:val="2B5D663F"/>
    <w:rsid w:val="2B6E1F63"/>
    <w:rsid w:val="2B9215B2"/>
    <w:rsid w:val="2BA42C24"/>
    <w:rsid w:val="2BA67150"/>
    <w:rsid w:val="2BAE5BDD"/>
    <w:rsid w:val="2BB623FD"/>
    <w:rsid w:val="2BC566C7"/>
    <w:rsid w:val="2BC81736"/>
    <w:rsid w:val="2BE3479D"/>
    <w:rsid w:val="2BFB3F34"/>
    <w:rsid w:val="2C032B73"/>
    <w:rsid w:val="2C06325A"/>
    <w:rsid w:val="2C0E0D00"/>
    <w:rsid w:val="2C19133D"/>
    <w:rsid w:val="2C1A1B3D"/>
    <w:rsid w:val="2C221397"/>
    <w:rsid w:val="2C300C99"/>
    <w:rsid w:val="2C35005E"/>
    <w:rsid w:val="2C81653D"/>
    <w:rsid w:val="2CB9247E"/>
    <w:rsid w:val="2CDA20B4"/>
    <w:rsid w:val="2CF42A2C"/>
    <w:rsid w:val="2D1547AA"/>
    <w:rsid w:val="2D1C0C8B"/>
    <w:rsid w:val="2D500625"/>
    <w:rsid w:val="2D511CF8"/>
    <w:rsid w:val="2D821A6D"/>
    <w:rsid w:val="2D8E5DB3"/>
    <w:rsid w:val="2D9C231F"/>
    <w:rsid w:val="2D9E60D7"/>
    <w:rsid w:val="2D9F3C27"/>
    <w:rsid w:val="2DAB019F"/>
    <w:rsid w:val="2DB15F1B"/>
    <w:rsid w:val="2DE44B7D"/>
    <w:rsid w:val="2DE85A59"/>
    <w:rsid w:val="2E00515D"/>
    <w:rsid w:val="2E153C96"/>
    <w:rsid w:val="2E1D043E"/>
    <w:rsid w:val="2E2C3CC9"/>
    <w:rsid w:val="2E2D39B2"/>
    <w:rsid w:val="2E322537"/>
    <w:rsid w:val="2E3944DD"/>
    <w:rsid w:val="2E524DAC"/>
    <w:rsid w:val="2E553313"/>
    <w:rsid w:val="2E583115"/>
    <w:rsid w:val="2E6C4C6B"/>
    <w:rsid w:val="2E760F81"/>
    <w:rsid w:val="2E7A64DB"/>
    <w:rsid w:val="2E7F0E45"/>
    <w:rsid w:val="2E816717"/>
    <w:rsid w:val="2EA64CE7"/>
    <w:rsid w:val="2EB774D0"/>
    <w:rsid w:val="2ED62883"/>
    <w:rsid w:val="2EE04406"/>
    <w:rsid w:val="2EE461BC"/>
    <w:rsid w:val="2EE642AD"/>
    <w:rsid w:val="2F05447E"/>
    <w:rsid w:val="2F234AE5"/>
    <w:rsid w:val="2F3F6D21"/>
    <w:rsid w:val="2F427B64"/>
    <w:rsid w:val="2F4A02C4"/>
    <w:rsid w:val="2F7A7771"/>
    <w:rsid w:val="2F8258C7"/>
    <w:rsid w:val="2F8E7570"/>
    <w:rsid w:val="2F97023F"/>
    <w:rsid w:val="2FA70B41"/>
    <w:rsid w:val="2FAE780E"/>
    <w:rsid w:val="2FEA61C6"/>
    <w:rsid w:val="2FF46A33"/>
    <w:rsid w:val="30164ACC"/>
    <w:rsid w:val="301746AE"/>
    <w:rsid w:val="301A510E"/>
    <w:rsid w:val="303B12B3"/>
    <w:rsid w:val="30446691"/>
    <w:rsid w:val="30536DA5"/>
    <w:rsid w:val="30555F0B"/>
    <w:rsid w:val="305B18F9"/>
    <w:rsid w:val="306675DB"/>
    <w:rsid w:val="306F4A5C"/>
    <w:rsid w:val="30704F1E"/>
    <w:rsid w:val="30850301"/>
    <w:rsid w:val="30872E52"/>
    <w:rsid w:val="30B74EB9"/>
    <w:rsid w:val="30EA2FCA"/>
    <w:rsid w:val="31130579"/>
    <w:rsid w:val="31150AF7"/>
    <w:rsid w:val="312977F5"/>
    <w:rsid w:val="3140510D"/>
    <w:rsid w:val="31490B16"/>
    <w:rsid w:val="314B20D2"/>
    <w:rsid w:val="31500AF0"/>
    <w:rsid w:val="315D724F"/>
    <w:rsid w:val="31606BA9"/>
    <w:rsid w:val="31663C07"/>
    <w:rsid w:val="317B5137"/>
    <w:rsid w:val="31B173FD"/>
    <w:rsid w:val="31B535AF"/>
    <w:rsid w:val="31BA037F"/>
    <w:rsid w:val="31EA44FA"/>
    <w:rsid w:val="31F304A6"/>
    <w:rsid w:val="32091243"/>
    <w:rsid w:val="322464D4"/>
    <w:rsid w:val="32294765"/>
    <w:rsid w:val="32706F99"/>
    <w:rsid w:val="327E7CD9"/>
    <w:rsid w:val="329745C1"/>
    <w:rsid w:val="32AD26CC"/>
    <w:rsid w:val="32B56E69"/>
    <w:rsid w:val="32DD31FD"/>
    <w:rsid w:val="32F207EB"/>
    <w:rsid w:val="32F445A5"/>
    <w:rsid w:val="32FC5FC6"/>
    <w:rsid w:val="330F4401"/>
    <w:rsid w:val="331E1E02"/>
    <w:rsid w:val="332E42B4"/>
    <w:rsid w:val="333170A5"/>
    <w:rsid w:val="33353215"/>
    <w:rsid w:val="33435036"/>
    <w:rsid w:val="33472431"/>
    <w:rsid w:val="335D7B29"/>
    <w:rsid w:val="33696FDE"/>
    <w:rsid w:val="336B0B61"/>
    <w:rsid w:val="337B4743"/>
    <w:rsid w:val="338C3ABE"/>
    <w:rsid w:val="33A867A1"/>
    <w:rsid w:val="33BE0CB2"/>
    <w:rsid w:val="33C02706"/>
    <w:rsid w:val="33CD3982"/>
    <w:rsid w:val="33D21CA6"/>
    <w:rsid w:val="33F133C2"/>
    <w:rsid w:val="33F943AC"/>
    <w:rsid w:val="341548E7"/>
    <w:rsid w:val="3424527D"/>
    <w:rsid w:val="34251F8E"/>
    <w:rsid w:val="3429727E"/>
    <w:rsid w:val="345A7961"/>
    <w:rsid w:val="347A05C3"/>
    <w:rsid w:val="347E5080"/>
    <w:rsid w:val="348D4D75"/>
    <w:rsid w:val="34902CE5"/>
    <w:rsid w:val="34965FFC"/>
    <w:rsid w:val="349E0792"/>
    <w:rsid w:val="34B475AD"/>
    <w:rsid w:val="34C1398D"/>
    <w:rsid w:val="34D33C1F"/>
    <w:rsid w:val="34DB71D0"/>
    <w:rsid w:val="34E077DE"/>
    <w:rsid w:val="34EB3FFA"/>
    <w:rsid w:val="35167E57"/>
    <w:rsid w:val="351849C1"/>
    <w:rsid w:val="351911D3"/>
    <w:rsid w:val="351C58FB"/>
    <w:rsid w:val="35493147"/>
    <w:rsid w:val="355155D7"/>
    <w:rsid w:val="35572F42"/>
    <w:rsid w:val="35597C68"/>
    <w:rsid w:val="355A3420"/>
    <w:rsid w:val="35680A2A"/>
    <w:rsid w:val="35682CA4"/>
    <w:rsid w:val="356E5C0E"/>
    <w:rsid w:val="357375C4"/>
    <w:rsid w:val="357A743D"/>
    <w:rsid w:val="358B52B4"/>
    <w:rsid w:val="35975C33"/>
    <w:rsid w:val="35990A65"/>
    <w:rsid w:val="359D6299"/>
    <w:rsid w:val="35A6171B"/>
    <w:rsid w:val="35A80F37"/>
    <w:rsid w:val="35A82F5F"/>
    <w:rsid w:val="35B603F5"/>
    <w:rsid w:val="35CC2089"/>
    <w:rsid w:val="35EF1F65"/>
    <w:rsid w:val="35EF4E9F"/>
    <w:rsid w:val="36011B96"/>
    <w:rsid w:val="360D3064"/>
    <w:rsid w:val="3652616D"/>
    <w:rsid w:val="366046B9"/>
    <w:rsid w:val="366135C0"/>
    <w:rsid w:val="366A5627"/>
    <w:rsid w:val="366A77E6"/>
    <w:rsid w:val="36710AA2"/>
    <w:rsid w:val="369542E2"/>
    <w:rsid w:val="36A500AE"/>
    <w:rsid w:val="36AC26B2"/>
    <w:rsid w:val="36C81B5B"/>
    <w:rsid w:val="36CA4796"/>
    <w:rsid w:val="36CE3114"/>
    <w:rsid w:val="36D305E5"/>
    <w:rsid w:val="36EA7FF2"/>
    <w:rsid w:val="37017235"/>
    <w:rsid w:val="373D169F"/>
    <w:rsid w:val="37414011"/>
    <w:rsid w:val="37415167"/>
    <w:rsid w:val="374E143A"/>
    <w:rsid w:val="375145A6"/>
    <w:rsid w:val="37522485"/>
    <w:rsid w:val="375976CB"/>
    <w:rsid w:val="37613C52"/>
    <w:rsid w:val="376F2885"/>
    <w:rsid w:val="377835C6"/>
    <w:rsid w:val="37841E99"/>
    <w:rsid w:val="37C11509"/>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8FB618B"/>
    <w:rsid w:val="38FF12F6"/>
    <w:rsid w:val="39051B96"/>
    <w:rsid w:val="39090EB2"/>
    <w:rsid w:val="390A09B4"/>
    <w:rsid w:val="390B2C76"/>
    <w:rsid w:val="390D5384"/>
    <w:rsid w:val="391644FB"/>
    <w:rsid w:val="39257351"/>
    <w:rsid w:val="392F0F3D"/>
    <w:rsid w:val="39322F95"/>
    <w:rsid w:val="39430A5E"/>
    <w:rsid w:val="39602F23"/>
    <w:rsid w:val="396B58C4"/>
    <w:rsid w:val="397B0BB4"/>
    <w:rsid w:val="3986014B"/>
    <w:rsid w:val="399B3376"/>
    <w:rsid w:val="39A64195"/>
    <w:rsid w:val="39AF1465"/>
    <w:rsid w:val="39C04E20"/>
    <w:rsid w:val="39CA3463"/>
    <w:rsid w:val="39CF6662"/>
    <w:rsid w:val="39E54D31"/>
    <w:rsid w:val="39E80849"/>
    <w:rsid w:val="39F2252B"/>
    <w:rsid w:val="39FC6D76"/>
    <w:rsid w:val="3A0E5A41"/>
    <w:rsid w:val="3A2175BE"/>
    <w:rsid w:val="3A2436D1"/>
    <w:rsid w:val="3A2A7F00"/>
    <w:rsid w:val="3A3B3E84"/>
    <w:rsid w:val="3A593D19"/>
    <w:rsid w:val="3A5A0DCA"/>
    <w:rsid w:val="3A6A27D7"/>
    <w:rsid w:val="3A8B5D3E"/>
    <w:rsid w:val="3ABC09E4"/>
    <w:rsid w:val="3AC407C9"/>
    <w:rsid w:val="3ADD1A06"/>
    <w:rsid w:val="3AF06CC1"/>
    <w:rsid w:val="3B183E18"/>
    <w:rsid w:val="3B215631"/>
    <w:rsid w:val="3B2D6711"/>
    <w:rsid w:val="3B51309B"/>
    <w:rsid w:val="3B8013A5"/>
    <w:rsid w:val="3B850E7A"/>
    <w:rsid w:val="3B883403"/>
    <w:rsid w:val="3B8E1A15"/>
    <w:rsid w:val="3B907708"/>
    <w:rsid w:val="3B954F85"/>
    <w:rsid w:val="3B9C0E95"/>
    <w:rsid w:val="3BA96A60"/>
    <w:rsid w:val="3BB9610E"/>
    <w:rsid w:val="3BBD0AD4"/>
    <w:rsid w:val="3BD97102"/>
    <w:rsid w:val="3BDE4EBF"/>
    <w:rsid w:val="3BFE5D03"/>
    <w:rsid w:val="3C0248C3"/>
    <w:rsid w:val="3C072215"/>
    <w:rsid w:val="3C167592"/>
    <w:rsid w:val="3C170EB9"/>
    <w:rsid w:val="3C250799"/>
    <w:rsid w:val="3C276162"/>
    <w:rsid w:val="3C2B1BD6"/>
    <w:rsid w:val="3C2C17DF"/>
    <w:rsid w:val="3C396A58"/>
    <w:rsid w:val="3C412808"/>
    <w:rsid w:val="3C663D83"/>
    <w:rsid w:val="3C6B183B"/>
    <w:rsid w:val="3C714A0F"/>
    <w:rsid w:val="3C762FBC"/>
    <w:rsid w:val="3C9108DC"/>
    <w:rsid w:val="3C9835A7"/>
    <w:rsid w:val="3CA427D7"/>
    <w:rsid w:val="3CA431D4"/>
    <w:rsid w:val="3CA86B29"/>
    <w:rsid w:val="3CAC710F"/>
    <w:rsid w:val="3CB45C0C"/>
    <w:rsid w:val="3CB94393"/>
    <w:rsid w:val="3CBD03A6"/>
    <w:rsid w:val="3CDC27C9"/>
    <w:rsid w:val="3CE068D8"/>
    <w:rsid w:val="3CF21AEE"/>
    <w:rsid w:val="3D0A22D5"/>
    <w:rsid w:val="3D0B5F2D"/>
    <w:rsid w:val="3D114B5C"/>
    <w:rsid w:val="3D12489B"/>
    <w:rsid w:val="3D193B16"/>
    <w:rsid w:val="3D3F2810"/>
    <w:rsid w:val="3D484D37"/>
    <w:rsid w:val="3D495DF7"/>
    <w:rsid w:val="3D851633"/>
    <w:rsid w:val="3D875BB8"/>
    <w:rsid w:val="3DB35BB7"/>
    <w:rsid w:val="3DBF1661"/>
    <w:rsid w:val="3E051FCE"/>
    <w:rsid w:val="3E1756B6"/>
    <w:rsid w:val="3E1920C0"/>
    <w:rsid w:val="3E2048C2"/>
    <w:rsid w:val="3E247F32"/>
    <w:rsid w:val="3E28471D"/>
    <w:rsid w:val="3E352534"/>
    <w:rsid w:val="3E42659A"/>
    <w:rsid w:val="3E4C632F"/>
    <w:rsid w:val="3E5E3BF8"/>
    <w:rsid w:val="3E5F70CE"/>
    <w:rsid w:val="3E610DA9"/>
    <w:rsid w:val="3E613D26"/>
    <w:rsid w:val="3E645172"/>
    <w:rsid w:val="3E701062"/>
    <w:rsid w:val="3E77442B"/>
    <w:rsid w:val="3EAC39B4"/>
    <w:rsid w:val="3EC11BF7"/>
    <w:rsid w:val="3EDF5A5F"/>
    <w:rsid w:val="3EE80F60"/>
    <w:rsid w:val="3EF169DA"/>
    <w:rsid w:val="3EF47905"/>
    <w:rsid w:val="3EF93089"/>
    <w:rsid w:val="3F0E4239"/>
    <w:rsid w:val="3F127531"/>
    <w:rsid w:val="3F207BB8"/>
    <w:rsid w:val="3F2B4E96"/>
    <w:rsid w:val="3F2D1069"/>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DD65EB"/>
    <w:rsid w:val="3FEE70B9"/>
    <w:rsid w:val="3FF71DB6"/>
    <w:rsid w:val="3FF81EFD"/>
    <w:rsid w:val="3FFD0A3B"/>
    <w:rsid w:val="400910C5"/>
    <w:rsid w:val="4016105A"/>
    <w:rsid w:val="40507088"/>
    <w:rsid w:val="40511B29"/>
    <w:rsid w:val="40525CFA"/>
    <w:rsid w:val="40552891"/>
    <w:rsid w:val="405666DE"/>
    <w:rsid w:val="40595D0C"/>
    <w:rsid w:val="405A164D"/>
    <w:rsid w:val="405A2653"/>
    <w:rsid w:val="40622EEA"/>
    <w:rsid w:val="40672D0C"/>
    <w:rsid w:val="407D09B4"/>
    <w:rsid w:val="40892F96"/>
    <w:rsid w:val="408E1F25"/>
    <w:rsid w:val="409D774F"/>
    <w:rsid w:val="40A22DA0"/>
    <w:rsid w:val="40A354E5"/>
    <w:rsid w:val="40B03322"/>
    <w:rsid w:val="40C444B5"/>
    <w:rsid w:val="40ED549C"/>
    <w:rsid w:val="40F333AC"/>
    <w:rsid w:val="4109777D"/>
    <w:rsid w:val="411166A5"/>
    <w:rsid w:val="411F6223"/>
    <w:rsid w:val="41390C96"/>
    <w:rsid w:val="413B683F"/>
    <w:rsid w:val="41466C95"/>
    <w:rsid w:val="414B6987"/>
    <w:rsid w:val="4158647C"/>
    <w:rsid w:val="41643428"/>
    <w:rsid w:val="416B0B98"/>
    <w:rsid w:val="4175321B"/>
    <w:rsid w:val="418F78FA"/>
    <w:rsid w:val="4195768D"/>
    <w:rsid w:val="41A605D0"/>
    <w:rsid w:val="41C32DEB"/>
    <w:rsid w:val="41CA3305"/>
    <w:rsid w:val="41CC6A6E"/>
    <w:rsid w:val="41D46746"/>
    <w:rsid w:val="41E50241"/>
    <w:rsid w:val="41ED6B4B"/>
    <w:rsid w:val="42065175"/>
    <w:rsid w:val="421A3B26"/>
    <w:rsid w:val="42203DE5"/>
    <w:rsid w:val="423339AE"/>
    <w:rsid w:val="42400071"/>
    <w:rsid w:val="42514F28"/>
    <w:rsid w:val="42602DAE"/>
    <w:rsid w:val="42623E1B"/>
    <w:rsid w:val="42702AE2"/>
    <w:rsid w:val="427A3AB6"/>
    <w:rsid w:val="427B2568"/>
    <w:rsid w:val="427B6090"/>
    <w:rsid w:val="428A5209"/>
    <w:rsid w:val="42A32E9D"/>
    <w:rsid w:val="42A37451"/>
    <w:rsid w:val="42A40BC0"/>
    <w:rsid w:val="42A40D6B"/>
    <w:rsid w:val="42AA632B"/>
    <w:rsid w:val="42AE7F37"/>
    <w:rsid w:val="42B9327D"/>
    <w:rsid w:val="42CC28E0"/>
    <w:rsid w:val="42F44377"/>
    <w:rsid w:val="43037BB1"/>
    <w:rsid w:val="43065E58"/>
    <w:rsid w:val="4308583C"/>
    <w:rsid w:val="433A3D54"/>
    <w:rsid w:val="433E40E3"/>
    <w:rsid w:val="434C25F0"/>
    <w:rsid w:val="434D4AE8"/>
    <w:rsid w:val="43512BF1"/>
    <w:rsid w:val="435448CE"/>
    <w:rsid w:val="43572820"/>
    <w:rsid w:val="435C3CCA"/>
    <w:rsid w:val="43633FF9"/>
    <w:rsid w:val="436A3AF2"/>
    <w:rsid w:val="436B0A40"/>
    <w:rsid w:val="43715519"/>
    <w:rsid w:val="43762FDE"/>
    <w:rsid w:val="437B5074"/>
    <w:rsid w:val="437E400B"/>
    <w:rsid w:val="43993698"/>
    <w:rsid w:val="43B31196"/>
    <w:rsid w:val="43BB720C"/>
    <w:rsid w:val="43BC335F"/>
    <w:rsid w:val="43C92B32"/>
    <w:rsid w:val="43CB1DE1"/>
    <w:rsid w:val="43EB7ACC"/>
    <w:rsid w:val="43FC1AB4"/>
    <w:rsid w:val="43FE39EA"/>
    <w:rsid w:val="441427F7"/>
    <w:rsid w:val="442A1993"/>
    <w:rsid w:val="442F4C28"/>
    <w:rsid w:val="44402F95"/>
    <w:rsid w:val="44756528"/>
    <w:rsid w:val="447D407D"/>
    <w:rsid w:val="448A0E5D"/>
    <w:rsid w:val="449D45F7"/>
    <w:rsid w:val="44A435AA"/>
    <w:rsid w:val="44A872EC"/>
    <w:rsid w:val="44A91136"/>
    <w:rsid w:val="44C07EB7"/>
    <w:rsid w:val="44C41CD0"/>
    <w:rsid w:val="44EB55BF"/>
    <w:rsid w:val="4516216D"/>
    <w:rsid w:val="451F0B3D"/>
    <w:rsid w:val="452A57C8"/>
    <w:rsid w:val="452D2698"/>
    <w:rsid w:val="454E3658"/>
    <w:rsid w:val="455B6693"/>
    <w:rsid w:val="456003A1"/>
    <w:rsid w:val="4570054D"/>
    <w:rsid w:val="45836B41"/>
    <w:rsid w:val="45BA3A93"/>
    <w:rsid w:val="45D32B9D"/>
    <w:rsid w:val="45D504FB"/>
    <w:rsid w:val="45D51F09"/>
    <w:rsid w:val="45DA1A14"/>
    <w:rsid w:val="45DB0AA9"/>
    <w:rsid w:val="45E335B5"/>
    <w:rsid w:val="46072FDC"/>
    <w:rsid w:val="460B44C8"/>
    <w:rsid w:val="46136A51"/>
    <w:rsid w:val="46144FA7"/>
    <w:rsid w:val="461F3C01"/>
    <w:rsid w:val="462D4AD7"/>
    <w:rsid w:val="462F3918"/>
    <w:rsid w:val="463E6D3E"/>
    <w:rsid w:val="46566AA9"/>
    <w:rsid w:val="46592743"/>
    <w:rsid w:val="46661558"/>
    <w:rsid w:val="466A3548"/>
    <w:rsid w:val="466C4AED"/>
    <w:rsid w:val="46967F5B"/>
    <w:rsid w:val="46B05B1F"/>
    <w:rsid w:val="46B35E11"/>
    <w:rsid w:val="46BA27BC"/>
    <w:rsid w:val="46BC6770"/>
    <w:rsid w:val="46BD0F24"/>
    <w:rsid w:val="46CF7E90"/>
    <w:rsid w:val="46D13DB8"/>
    <w:rsid w:val="47240834"/>
    <w:rsid w:val="47354F5E"/>
    <w:rsid w:val="473C453F"/>
    <w:rsid w:val="47546CCD"/>
    <w:rsid w:val="475567CD"/>
    <w:rsid w:val="475B3DA3"/>
    <w:rsid w:val="476B36FA"/>
    <w:rsid w:val="478039D4"/>
    <w:rsid w:val="479E642E"/>
    <w:rsid w:val="47A20A59"/>
    <w:rsid w:val="47B5458F"/>
    <w:rsid w:val="47C1238D"/>
    <w:rsid w:val="47CB0AA5"/>
    <w:rsid w:val="47E246F7"/>
    <w:rsid w:val="47E76F91"/>
    <w:rsid w:val="47FF0DAF"/>
    <w:rsid w:val="48030380"/>
    <w:rsid w:val="48185A6B"/>
    <w:rsid w:val="48254D5D"/>
    <w:rsid w:val="48273A4D"/>
    <w:rsid w:val="483F2C13"/>
    <w:rsid w:val="48490C72"/>
    <w:rsid w:val="484A471E"/>
    <w:rsid w:val="485162E7"/>
    <w:rsid w:val="48560B58"/>
    <w:rsid w:val="48615205"/>
    <w:rsid w:val="486B3599"/>
    <w:rsid w:val="486F3FB1"/>
    <w:rsid w:val="48741AB6"/>
    <w:rsid w:val="487452ED"/>
    <w:rsid w:val="48775E7D"/>
    <w:rsid w:val="48936FC5"/>
    <w:rsid w:val="489414DE"/>
    <w:rsid w:val="48A61185"/>
    <w:rsid w:val="48BC2E38"/>
    <w:rsid w:val="48C34DDE"/>
    <w:rsid w:val="48D17B15"/>
    <w:rsid w:val="48F814A8"/>
    <w:rsid w:val="491171A1"/>
    <w:rsid w:val="4927647B"/>
    <w:rsid w:val="492C5797"/>
    <w:rsid w:val="495013A9"/>
    <w:rsid w:val="495F48E7"/>
    <w:rsid w:val="49631695"/>
    <w:rsid w:val="49663AF5"/>
    <w:rsid w:val="49804F41"/>
    <w:rsid w:val="499C2D6D"/>
    <w:rsid w:val="49AB5585"/>
    <w:rsid w:val="49B96530"/>
    <w:rsid w:val="49BF7880"/>
    <w:rsid w:val="49C02AC2"/>
    <w:rsid w:val="49C82B49"/>
    <w:rsid w:val="49D56C49"/>
    <w:rsid w:val="49D74038"/>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07B41"/>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B5AC4"/>
    <w:rsid w:val="4C396B73"/>
    <w:rsid w:val="4C3B4DD0"/>
    <w:rsid w:val="4C426781"/>
    <w:rsid w:val="4C4C5496"/>
    <w:rsid w:val="4C586C2C"/>
    <w:rsid w:val="4C6A1CEF"/>
    <w:rsid w:val="4C6C3432"/>
    <w:rsid w:val="4C755449"/>
    <w:rsid w:val="4C854697"/>
    <w:rsid w:val="4C8C21FB"/>
    <w:rsid w:val="4C907331"/>
    <w:rsid w:val="4C9D08B4"/>
    <w:rsid w:val="4CA66198"/>
    <w:rsid w:val="4CAA102F"/>
    <w:rsid w:val="4CB14655"/>
    <w:rsid w:val="4CB33E17"/>
    <w:rsid w:val="4CC80B92"/>
    <w:rsid w:val="4CC92C3A"/>
    <w:rsid w:val="4CCB403C"/>
    <w:rsid w:val="4CE01489"/>
    <w:rsid w:val="4CEB74B6"/>
    <w:rsid w:val="4CF50A59"/>
    <w:rsid w:val="4CF8202F"/>
    <w:rsid w:val="4CFD4AAA"/>
    <w:rsid w:val="4D0B0C3B"/>
    <w:rsid w:val="4D182801"/>
    <w:rsid w:val="4D1836FB"/>
    <w:rsid w:val="4D533AAF"/>
    <w:rsid w:val="4D79073E"/>
    <w:rsid w:val="4D7B0185"/>
    <w:rsid w:val="4D9E34B9"/>
    <w:rsid w:val="4DAC7F99"/>
    <w:rsid w:val="4DBF6851"/>
    <w:rsid w:val="4DC51ABF"/>
    <w:rsid w:val="4DC90683"/>
    <w:rsid w:val="4DC94ACF"/>
    <w:rsid w:val="4DD67F46"/>
    <w:rsid w:val="4DE047C5"/>
    <w:rsid w:val="4DE54991"/>
    <w:rsid w:val="4DF05258"/>
    <w:rsid w:val="4E252D2A"/>
    <w:rsid w:val="4E3F795C"/>
    <w:rsid w:val="4E40707C"/>
    <w:rsid w:val="4E42373A"/>
    <w:rsid w:val="4E507D99"/>
    <w:rsid w:val="4E866E0A"/>
    <w:rsid w:val="4E8D2056"/>
    <w:rsid w:val="4E927F77"/>
    <w:rsid w:val="4E9E788D"/>
    <w:rsid w:val="4EBB286E"/>
    <w:rsid w:val="4ED21F42"/>
    <w:rsid w:val="4ED60267"/>
    <w:rsid w:val="4EE07940"/>
    <w:rsid w:val="4EF647A8"/>
    <w:rsid w:val="4F042A1B"/>
    <w:rsid w:val="4F093E78"/>
    <w:rsid w:val="4F1D2082"/>
    <w:rsid w:val="4F1E444B"/>
    <w:rsid w:val="4F280A7B"/>
    <w:rsid w:val="4F2B223C"/>
    <w:rsid w:val="4F2C416E"/>
    <w:rsid w:val="4F3B0396"/>
    <w:rsid w:val="4F4420DA"/>
    <w:rsid w:val="4F4D0E89"/>
    <w:rsid w:val="4F5464CE"/>
    <w:rsid w:val="4F55307E"/>
    <w:rsid w:val="4F602B90"/>
    <w:rsid w:val="4F656AC0"/>
    <w:rsid w:val="4F6F5219"/>
    <w:rsid w:val="4F7B3CDA"/>
    <w:rsid w:val="4F8E4B27"/>
    <w:rsid w:val="4F907AA4"/>
    <w:rsid w:val="4FA60918"/>
    <w:rsid w:val="4FB368CF"/>
    <w:rsid w:val="4FB476B5"/>
    <w:rsid w:val="4FBC4BF4"/>
    <w:rsid w:val="4FD35C7B"/>
    <w:rsid w:val="4FD65B1E"/>
    <w:rsid w:val="50051405"/>
    <w:rsid w:val="500832F8"/>
    <w:rsid w:val="501136F0"/>
    <w:rsid w:val="50150DFA"/>
    <w:rsid w:val="50212C5E"/>
    <w:rsid w:val="502256AD"/>
    <w:rsid w:val="504215FA"/>
    <w:rsid w:val="50451DB7"/>
    <w:rsid w:val="504B791D"/>
    <w:rsid w:val="50501952"/>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A39B9"/>
    <w:rsid w:val="51ED757F"/>
    <w:rsid w:val="51F24178"/>
    <w:rsid w:val="521340EE"/>
    <w:rsid w:val="52150A7D"/>
    <w:rsid w:val="521B2FB4"/>
    <w:rsid w:val="52414306"/>
    <w:rsid w:val="52457AEB"/>
    <w:rsid w:val="52561970"/>
    <w:rsid w:val="52564EE5"/>
    <w:rsid w:val="525D3F00"/>
    <w:rsid w:val="52664093"/>
    <w:rsid w:val="52666F95"/>
    <w:rsid w:val="526763FB"/>
    <w:rsid w:val="526D2AE2"/>
    <w:rsid w:val="52741EC2"/>
    <w:rsid w:val="528D5C4E"/>
    <w:rsid w:val="52AF50B1"/>
    <w:rsid w:val="52D269B4"/>
    <w:rsid w:val="52E1213E"/>
    <w:rsid w:val="53336AAE"/>
    <w:rsid w:val="533A136C"/>
    <w:rsid w:val="53480B19"/>
    <w:rsid w:val="5355264E"/>
    <w:rsid w:val="535F2BBA"/>
    <w:rsid w:val="537C67BA"/>
    <w:rsid w:val="53AF337A"/>
    <w:rsid w:val="53B26284"/>
    <w:rsid w:val="53B759F4"/>
    <w:rsid w:val="53B82303"/>
    <w:rsid w:val="53B96D2F"/>
    <w:rsid w:val="53CC27A6"/>
    <w:rsid w:val="53D225A4"/>
    <w:rsid w:val="53DF4479"/>
    <w:rsid w:val="53F27D44"/>
    <w:rsid w:val="54157C9B"/>
    <w:rsid w:val="54186AD3"/>
    <w:rsid w:val="54371F77"/>
    <w:rsid w:val="543B112A"/>
    <w:rsid w:val="544A4D29"/>
    <w:rsid w:val="54547B86"/>
    <w:rsid w:val="545E0121"/>
    <w:rsid w:val="54685BE0"/>
    <w:rsid w:val="546A3396"/>
    <w:rsid w:val="54760B52"/>
    <w:rsid w:val="5481317B"/>
    <w:rsid w:val="5494027A"/>
    <w:rsid w:val="54A21918"/>
    <w:rsid w:val="54AA76FF"/>
    <w:rsid w:val="54B92F65"/>
    <w:rsid w:val="54CF4BCF"/>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CE14C4"/>
    <w:rsid w:val="55DF79E5"/>
    <w:rsid w:val="5611384C"/>
    <w:rsid w:val="561B28DD"/>
    <w:rsid w:val="561D05FE"/>
    <w:rsid w:val="561D55D3"/>
    <w:rsid w:val="5635520A"/>
    <w:rsid w:val="564846E1"/>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72CCF"/>
    <w:rsid w:val="575A261C"/>
    <w:rsid w:val="57A6426A"/>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060509"/>
    <w:rsid w:val="59210786"/>
    <w:rsid w:val="59432A0E"/>
    <w:rsid w:val="595219A0"/>
    <w:rsid w:val="59540A82"/>
    <w:rsid w:val="59594578"/>
    <w:rsid w:val="59631729"/>
    <w:rsid w:val="598A7A09"/>
    <w:rsid w:val="59B33075"/>
    <w:rsid w:val="59B63D96"/>
    <w:rsid w:val="59B641EF"/>
    <w:rsid w:val="59C13ED2"/>
    <w:rsid w:val="59C6221A"/>
    <w:rsid w:val="59E6253A"/>
    <w:rsid w:val="59E7033F"/>
    <w:rsid w:val="59E8544B"/>
    <w:rsid w:val="5A0354F7"/>
    <w:rsid w:val="5A0A7C9A"/>
    <w:rsid w:val="5A1E5359"/>
    <w:rsid w:val="5A24016E"/>
    <w:rsid w:val="5A291824"/>
    <w:rsid w:val="5A344ECC"/>
    <w:rsid w:val="5A390B46"/>
    <w:rsid w:val="5A492723"/>
    <w:rsid w:val="5A5C637B"/>
    <w:rsid w:val="5A5D74BC"/>
    <w:rsid w:val="5A7C5C8F"/>
    <w:rsid w:val="5A90403D"/>
    <w:rsid w:val="5A9D71ED"/>
    <w:rsid w:val="5AA2571A"/>
    <w:rsid w:val="5AA47485"/>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13FA2"/>
    <w:rsid w:val="5B3879B9"/>
    <w:rsid w:val="5B436EF0"/>
    <w:rsid w:val="5B48673E"/>
    <w:rsid w:val="5B495558"/>
    <w:rsid w:val="5B4D2B80"/>
    <w:rsid w:val="5B550806"/>
    <w:rsid w:val="5B893F6C"/>
    <w:rsid w:val="5B9F1B41"/>
    <w:rsid w:val="5BA37F28"/>
    <w:rsid w:val="5BAE24A8"/>
    <w:rsid w:val="5BB117B1"/>
    <w:rsid w:val="5BC51BF0"/>
    <w:rsid w:val="5BCF26D8"/>
    <w:rsid w:val="5BE33A4D"/>
    <w:rsid w:val="5C0B7CEE"/>
    <w:rsid w:val="5C44015E"/>
    <w:rsid w:val="5C452195"/>
    <w:rsid w:val="5C4D41F0"/>
    <w:rsid w:val="5C554BC5"/>
    <w:rsid w:val="5C7D3D43"/>
    <w:rsid w:val="5C882C4F"/>
    <w:rsid w:val="5C8962BA"/>
    <w:rsid w:val="5CA46383"/>
    <w:rsid w:val="5CA70466"/>
    <w:rsid w:val="5CA70B0A"/>
    <w:rsid w:val="5CAC654C"/>
    <w:rsid w:val="5CB36049"/>
    <w:rsid w:val="5CBD523A"/>
    <w:rsid w:val="5CCD31A9"/>
    <w:rsid w:val="5CD2475E"/>
    <w:rsid w:val="5CEA65DA"/>
    <w:rsid w:val="5CF86CAE"/>
    <w:rsid w:val="5CFF58E2"/>
    <w:rsid w:val="5D0B3776"/>
    <w:rsid w:val="5D443020"/>
    <w:rsid w:val="5D47572E"/>
    <w:rsid w:val="5D485FD5"/>
    <w:rsid w:val="5D487E79"/>
    <w:rsid w:val="5D516A2D"/>
    <w:rsid w:val="5D65410C"/>
    <w:rsid w:val="5D6C5E39"/>
    <w:rsid w:val="5D6D4E29"/>
    <w:rsid w:val="5D71281A"/>
    <w:rsid w:val="5D7B2AF8"/>
    <w:rsid w:val="5D7D662C"/>
    <w:rsid w:val="5D954FBB"/>
    <w:rsid w:val="5D970862"/>
    <w:rsid w:val="5DDE3802"/>
    <w:rsid w:val="5DE847B7"/>
    <w:rsid w:val="5E0779FA"/>
    <w:rsid w:val="5E1256DF"/>
    <w:rsid w:val="5E1D5BB1"/>
    <w:rsid w:val="5E1D5F77"/>
    <w:rsid w:val="5E234035"/>
    <w:rsid w:val="5E2911D4"/>
    <w:rsid w:val="5E365189"/>
    <w:rsid w:val="5E4F7B9F"/>
    <w:rsid w:val="5E5C0541"/>
    <w:rsid w:val="5E5D1A5A"/>
    <w:rsid w:val="5E620446"/>
    <w:rsid w:val="5E751A3D"/>
    <w:rsid w:val="5E7762CF"/>
    <w:rsid w:val="5E8460C1"/>
    <w:rsid w:val="5E9316F0"/>
    <w:rsid w:val="5EBF574D"/>
    <w:rsid w:val="5EC87278"/>
    <w:rsid w:val="5EC9135A"/>
    <w:rsid w:val="5ED14E5B"/>
    <w:rsid w:val="5EF04B7B"/>
    <w:rsid w:val="5EFF3DE0"/>
    <w:rsid w:val="5F007B24"/>
    <w:rsid w:val="5F106EAF"/>
    <w:rsid w:val="5F283CA5"/>
    <w:rsid w:val="5F305F32"/>
    <w:rsid w:val="5F425A26"/>
    <w:rsid w:val="5F4E3CB5"/>
    <w:rsid w:val="5F7D1E64"/>
    <w:rsid w:val="5F9374D0"/>
    <w:rsid w:val="5FD96208"/>
    <w:rsid w:val="5FDA48B5"/>
    <w:rsid w:val="5FE25384"/>
    <w:rsid w:val="5FE875BC"/>
    <w:rsid w:val="5FFF1D3D"/>
    <w:rsid w:val="60074467"/>
    <w:rsid w:val="60435E2D"/>
    <w:rsid w:val="60671E65"/>
    <w:rsid w:val="607562A7"/>
    <w:rsid w:val="608664A5"/>
    <w:rsid w:val="608C7B28"/>
    <w:rsid w:val="608F41F2"/>
    <w:rsid w:val="609E6925"/>
    <w:rsid w:val="60BA77CD"/>
    <w:rsid w:val="60C63F24"/>
    <w:rsid w:val="60CA2B58"/>
    <w:rsid w:val="60CB2763"/>
    <w:rsid w:val="60E73E36"/>
    <w:rsid w:val="60F80C2F"/>
    <w:rsid w:val="611D0AE5"/>
    <w:rsid w:val="613468C2"/>
    <w:rsid w:val="613707E7"/>
    <w:rsid w:val="613A48D5"/>
    <w:rsid w:val="61406339"/>
    <w:rsid w:val="61487E7F"/>
    <w:rsid w:val="614C4BCD"/>
    <w:rsid w:val="614F6149"/>
    <w:rsid w:val="61572E4F"/>
    <w:rsid w:val="615D1AF9"/>
    <w:rsid w:val="616128EC"/>
    <w:rsid w:val="616720C6"/>
    <w:rsid w:val="61725619"/>
    <w:rsid w:val="617E294F"/>
    <w:rsid w:val="618649E8"/>
    <w:rsid w:val="619104F5"/>
    <w:rsid w:val="61AB7C65"/>
    <w:rsid w:val="61C3512C"/>
    <w:rsid w:val="61D46946"/>
    <w:rsid w:val="61DB7979"/>
    <w:rsid w:val="62065A1D"/>
    <w:rsid w:val="62073433"/>
    <w:rsid w:val="620B3059"/>
    <w:rsid w:val="620D753C"/>
    <w:rsid w:val="62181D46"/>
    <w:rsid w:val="626B7791"/>
    <w:rsid w:val="62721747"/>
    <w:rsid w:val="628762A4"/>
    <w:rsid w:val="628C2933"/>
    <w:rsid w:val="628C4312"/>
    <w:rsid w:val="62962DF0"/>
    <w:rsid w:val="62AB1D8D"/>
    <w:rsid w:val="62B21523"/>
    <w:rsid w:val="62B842B3"/>
    <w:rsid w:val="62BD3E6D"/>
    <w:rsid w:val="62C42917"/>
    <w:rsid w:val="62D9309F"/>
    <w:rsid w:val="62DE5A92"/>
    <w:rsid w:val="62E73481"/>
    <w:rsid w:val="62ED42C9"/>
    <w:rsid w:val="62F0419C"/>
    <w:rsid w:val="62FA55D0"/>
    <w:rsid w:val="63080A55"/>
    <w:rsid w:val="631A7E52"/>
    <w:rsid w:val="63234C0F"/>
    <w:rsid w:val="634B4DB7"/>
    <w:rsid w:val="634C01CF"/>
    <w:rsid w:val="635665B8"/>
    <w:rsid w:val="637165DB"/>
    <w:rsid w:val="637A72AA"/>
    <w:rsid w:val="63A83A82"/>
    <w:rsid w:val="63BE1679"/>
    <w:rsid w:val="63CB3622"/>
    <w:rsid w:val="63D600F2"/>
    <w:rsid w:val="63E31E9D"/>
    <w:rsid w:val="63FB4DA5"/>
    <w:rsid w:val="63FC08C1"/>
    <w:rsid w:val="640434E5"/>
    <w:rsid w:val="6414356E"/>
    <w:rsid w:val="64185C22"/>
    <w:rsid w:val="643B275E"/>
    <w:rsid w:val="643F54D7"/>
    <w:rsid w:val="64411A38"/>
    <w:rsid w:val="64493760"/>
    <w:rsid w:val="64587275"/>
    <w:rsid w:val="645B2528"/>
    <w:rsid w:val="646A5BED"/>
    <w:rsid w:val="64C4485F"/>
    <w:rsid w:val="64CD64D1"/>
    <w:rsid w:val="64DA076B"/>
    <w:rsid w:val="64E36924"/>
    <w:rsid w:val="64E9112D"/>
    <w:rsid w:val="65014155"/>
    <w:rsid w:val="65102E3B"/>
    <w:rsid w:val="65142B38"/>
    <w:rsid w:val="6520621E"/>
    <w:rsid w:val="652F2A7C"/>
    <w:rsid w:val="653D68E6"/>
    <w:rsid w:val="65630AA9"/>
    <w:rsid w:val="656A3683"/>
    <w:rsid w:val="656A7144"/>
    <w:rsid w:val="657B048C"/>
    <w:rsid w:val="657E618B"/>
    <w:rsid w:val="657F70B1"/>
    <w:rsid w:val="65826EFF"/>
    <w:rsid w:val="65865107"/>
    <w:rsid w:val="659242EE"/>
    <w:rsid w:val="65A511E6"/>
    <w:rsid w:val="65A672FB"/>
    <w:rsid w:val="65B0069A"/>
    <w:rsid w:val="65B61ED7"/>
    <w:rsid w:val="65E9533F"/>
    <w:rsid w:val="65F76683"/>
    <w:rsid w:val="65F93869"/>
    <w:rsid w:val="660B2971"/>
    <w:rsid w:val="660B5D8E"/>
    <w:rsid w:val="66224F9D"/>
    <w:rsid w:val="6632531C"/>
    <w:rsid w:val="667237CD"/>
    <w:rsid w:val="66953E2E"/>
    <w:rsid w:val="669F7CBA"/>
    <w:rsid w:val="66AE39AD"/>
    <w:rsid w:val="66B00768"/>
    <w:rsid w:val="66B101DC"/>
    <w:rsid w:val="66C10FB6"/>
    <w:rsid w:val="66FB73E6"/>
    <w:rsid w:val="670A4B9E"/>
    <w:rsid w:val="67171C12"/>
    <w:rsid w:val="671C012D"/>
    <w:rsid w:val="672E507D"/>
    <w:rsid w:val="673936D7"/>
    <w:rsid w:val="67517AFA"/>
    <w:rsid w:val="6752767C"/>
    <w:rsid w:val="675E7C0F"/>
    <w:rsid w:val="67805AAD"/>
    <w:rsid w:val="679850C1"/>
    <w:rsid w:val="67AA3AEF"/>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2A6A5F"/>
    <w:rsid w:val="68535738"/>
    <w:rsid w:val="68721156"/>
    <w:rsid w:val="687C423F"/>
    <w:rsid w:val="68871B55"/>
    <w:rsid w:val="68C25D28"/>
    <w:rsid w:val="68C54B78"/>
    <w:rsid w:val="68D033F3"/>
    <w:rsid w:val="68D06E03"/>
    <w:rsid w:val="68D96D76"/>
    <w:rsid w:val="68DC689F"/>
    <w:rsid w:val="68E0170A"/>
    <w:rsid w:val="68F302CC"/>
    <w:rsid w:val="69012CE5"/>
    <w:rsid w:val="69083E29"/>
    <w:rsid w:val="69123CE1"/>
    <w:rsid w:val="69141C2E"/>
    <w:rsid w:val="69184264"/>
    <w:rsid w:val="693350FB"/>
    <w:rsid w:val="695479FA"/>
    <w:rsid w:val="696F1E02"/>
    <w:rsid w:val="69705CB0"/>
    <w:rsid w:val="69762AAC"/>
    <w:rsid w:val="697826BD"/>
    <w:rsid w:val="69874F79"/>
    <w:rsid w:val="698F4DBA"/>
    <w:rsid w:val="69997553"/>
    <w:rsid w:val="699D5604"/>
    <w:rsid w:val="69A31F0A"/>
    <w:rsid w:val="69AA23F5"/>
    <w:rsid w:val="69BA2787"/>
    <w:rsid w:val="69BF7EC3"/>
    <w:rsid w:val="69D330B4"/>
    <w:rsid w:val="69F432B5"/>
    <w:rsid w:val="6A1A62F6"/>
    <w:rsid w:val="6A1B5C00"/>
    <w:rsid w:val="6A2835EC"/>
    <w:rsid w:val="6A291175"/>
    <w:rsid w:val="6A2C34AA"/>
    <w:rsid w:val="6A6459AF"/>
    <w:rsid w:val="6A820F91"/>
    <w:rsid w:val="6A824374"/>
    <w:rsid w:val="6A87407F"/>
    <w:rsid w:val="6A99127D"/>
    <w:rsid w:val="6AA15528"/>
    <w:rsid w:val="6AB8004E"/>
    <w:rsid w:val="6AB861B4"/>
    <w:rsid w:val="6AD96CB7"/>
    <w:rsid w:val="6B02119E"/>
    <w:rsid w:val="6B0F3C1E"/>
    <w:rsid w:val="6B13077A"/>
    <w:rsid w:val="6B1424DD"/>
    <w:rsid w:val="6B17137A"/>
    <w:rsid w:val="6B1B42E7"/>
    <w:rsid w:val="6B221E5F"/>
    <w:rsid w:val="6B272595"/>
    <w:rsid w:val="6B2B1CE6"/>
    <w:rsid w:val="6B2F5E6F"/>
    <w:rsid w:val="6B4629BA"/>
    <w:rsid w:val="6B4C3CF7"/>
    <w:rsid w:val="6B596BBE"/>
    <w:rsid w:val="6B6B5CD2"/>
    <w:rsid w:val="6B711394"/>
    <w:rsid w:val="6B7C0E69"/>
    <w:rsid w:val="6B882178"/>
    <w:rsid w:val="6BA078E7"/>
    <w:rsid w:val="6BB36B04"/>
    <w:rsid w:val="6BC576AE"/>
    <w:rsid w:val="6BC82F86"/>
    <w:rsid w:val="6BCC1277"/>
    <w:rsid w:val="6BDD764C"/>
    <w:rsid w:val="6BE4278E"/>
    <w:rsid w:val="6BEA1F9C"/>
    <w:rsid w:val="6BFA2282"/>
    <w:rsid w:val="6BFC4F57"/>
    <w:rsid w:val="6BFF4076"/>
    <w:rsid w:val="6C017E36"/>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65E88"/>
    <w:rsid w:val="6D4A67A4"/>
    <w:rsid w:val="6D517127"/>
    <w:rsid w:val="6D5D5CC1"/>
    <w:rsid w:val="6D6B744D"/>
    <w:rsid w:val="6DA07DE7"/>
    <w:rsid w:val="6DA721E6"/>
    <w:rsid w:val="6DBE5CD2"/>
    <w:rsid w:val="6DE374BA"/>
    <w:rsid w:val="6DEC6B1D"/>
    <w:rsid w:val="6E1A1DDB"/>
    <w:rsid w:val="6E1A3D81"/>
    <w:rsid w:val="6E20601C"/>
    <w:rsid w:val="6E2A5041"/>
    <w:rsid w:val="6E2C4FDA"/>
    <w:rsid w:val="6E3A38A7"/>
    <w:rsid w:val="6E41574E"/>
    <w:rsid w:val="6E4660D0"/>
    <w:rsid w:val="6E4A043D"/>
    <w:rsid w:val="6E6F129A"/>
    <w:rsid w:val="6E8C7E9A"/>
    <w:rsid w:val="6EA7226C"/>
    <w:rsid w:val="6EB13143"/>
    <w:rsid w:val="6EB64434"/>
    <w:rsid w:val="6EBF0F07"/>
    <w:rsid w:val="6EC05520"/>
    <w:rsid w:val="6EC3545C"/>
    <w:rsid w:val="6ECA78B1"/>
    <w:rsid w:val="6EFD5C0F"/>
    <w:rsid w:val="6EFE1B8C"/>
    <w:rsid w:val="6F0211AE"/>
    <w:rsid w:val="6F081FAF"/>
    <w:rsid w:val="6F1D5BE7"/>
    <w:rsid w:val="6F252E0D"/>
    <w:rsid w:val="6F257D94"/>
    <w:rsid w:val="6F4379DD"/>
    <w:rsid w:val="6F6A055F"/>
    <w:rsid w:val="6F6A09C1"/>
    <w:rsid w:val="6F6B5550"/>
    <w:rsid w:val="6F733EF8"/>
    <w:rsid w:val="6F7478CD"/>
    <w:rsid w:val="6F8310B0"/>
    <w:rsid w:val="6FA66C5B"/>
    <w:rsid w:val="6FAF4A0F"/>
    <w:rsid w:val="6FB917DB"/>
    <w:rsid w:val="6FC80B1A"/>
    <w:rsid w:val="6FD412E1"/>
    <w:rsid w:val="6FE86762"/>
    <w:rsid w:val="6FEA1D9F"/>
    <w:rsid w:val="6FEE7DF4"/>
    <w:rsid w:val="6FF43A17"/>
    <w:rsid w:val="6FF473BA"/>
    <w:rsid w:val="6FFC588A"/>
    <w:rsid w:val="70233526"/>
    <w:rsid w:val="70306C17"/>
    <w:rsid w:val="70307C6C"/>
    <w:rsid w:val="703810FA"/>
    <w:rsid w:val="70431CAA"/>
    <w:rsid w:val="70640A3A"/>
    <w:rsid w:val="70754C0A"/>
    <w:rsid w:val="70810F20"/>
    <w:rsid w:val="70984F7D"/>
    <w:rsid w:val="709970EF"/>
    <w:rsid w:val="709C1A8C"/>
    <w:rsid w:val="70B279BF"/>
    <w:rsid w:val="70B27B70"/>
    <w:rsid w:val="70BB3F26"/>
    <w:rsid w:val="70CA4F87"/>
    <w:rsid w:val="70CE09C3"/>
    <w:rsid w:val="70E41A32"/>
    <w:rsid w:val="70FD7FEB"/>
    <w:rsid w:val="71147566"/>
    <w:rsid w:val="71287630"/>
    <w:rsid w:val="712C1AEB"/>
    <w:rsid w:val="713148BC"/>
    <w:rsid w:val="71371CF9"/>
    <w:rsid w:val="713E5AE7"/>
    <w:rsid w:val="7141437C"/>
    <w:rsid w:val="716F1C44"/>
    <w:rsid w:val="717E7A69"/>
    <w:rsid w:val="71806D32"/>
    <w:rsid w:val="71864B0A"/>
    <w:rsid w:val="718F50E7"/>
    <w:rsid w:val="71AD6FAE"/>
    <w:rsid w:val="71AE30B5"/>
    <w:rsid w:val="71B40FF2"/>
    <w:rsid w:val="71C27EC8"/>
    <w:rsid w:val="71C33DD0"/>
    <w:rsid w:val="72005AE6"/>
    <w:rsid w:val="72104AC2"/>
    <w:rsid w:val="72124041"/>
    <w:rsid w:val="72135B21"/>
    <w:rsid w:val="721601E1"/>
    <w:rsid w:val="72337620"/>
    <w:rsid w:val="723B701D"/>
    <w:rsid w:val="723F5BDB"/>
    <w:rsid w:val="72570EA7"/>
    <w:rsid w:val="726C2611"/>
    <w:rsid w:val="72726B56"/>
    <w:rsid w:val="727355E2"/>
    <w:rsid w:val="727E6F0A"/>
    <w:rsid w:val="72A11E23"/>
    <w:rsid w:val="72A30F54"/>
    <w:rsid w:val="72A322A5"/>
    <w:rsid w:val="72AF0917"/>
    <w:rsid w:val="72B3210B"/>
    <w:rsid w:val="72CF7ADB"/>
    <w:rsid w:val="72E75951"/>
    <w:rsid w:val="72E91B02"/>
    <w:rsid w:val="72F9284C"/>
    <w:rsid w:val="72FF3233"/>
    <w:rsid w:val="732650C3"/>
    <w:rsid w:val="732F5CB3"/>
    <w:rsid w:val="733C616F"/>
    <w:rsid w:val="7340334A"/>
    <w:rsid w:val="73487C44"/>
    <w:rsid w:val="734A7EB9"/>
    <w:rsid w:val="73586DC3"/>
    <w:rsid w:val="735B05AA"/>
    <w:rsid w:val="736811C4"/>
    <w:rsid w:val="73725CC7"/>
    <w:rsid w:val="738F2C00"/>
    <w:rsid w:val="739B35DE"/>
    <w:rsid w:val="73DA0AAB"/>
    <w:rsid w:val="73FA2A89"/>
    <w:rsid w:val="73FF32CB"/>
    <w:rsid w:val="7405758D"/>
    <w:rsid w:val="74301EA6"/>
    <w:rsid w:val="74386E56"/>
    <w:rsid w:val="7439010A"/>
    <w:rsid w:val="743F7814"/>
    <w:rsid w:val="74622F2F"/>
    <w:rsid w:val="7497088D"/>
    <w:rsid w:val="74A30572"/>
    <w:rsid w:val="74C73FE3"/>
    <w:rsid w:val="74DC5A55"/>
    <w:rsid w:val="74E63482"/>
    <w:rsid w:val="74E71A82"/>
    <w:rsid w:val="74F64E3F"/>
    <w:rsid w:val="74FD1B30"/>
    <w:rsid w:val="751D0E17"/>
    <w:rsid w:val="75267B69"/>
    <w:rsid w:val="754A05DC"/>
    <w:rsid w:val="75503205"/>
    <w:rsid w:val="75942A40"/>
    <w:rsid w:val="75A023F2"/>
    <w:rsid w:val="75C5780F"/>
    <w:rsid w:val="75FB2A56"/>
    <w:rsid w:val="75FF18EA"/>
    <w:rsid w:val="76023351"/>
    <w:rsid w:val="760A2F52"/>
    <w:rsid w:val="761730DD"/>
    <w:rsid w:val="762514F1"/>
    <w:rsid w:val="762C5C47"/>
    <w:rsid w:val="7645489A"/>
    <w:rsid w:val="764A18F1"/>
    <w:rsid w:val="764D731F"/>
    <w:rsid w:val="765512FB"/>
    <w:rsid w:val="765E31FB"/>
    <w:rsid w:val="766477E6"/>
    <w:rsid w:val="76687032"/>
    <w:rsid w:val="7672045B"/>
    <w:rsid w:val="76726D86"/>
    <w:rsid w:val="76766B2A"/>
    <w:rsid w:val="767F2D37"/>
    <w:rsid w:val="76895AED"/>
    <w:rsid w:val="768C6099"/>
    <w:rsid w:val="7698131F"/>
    <w:rsid w:val="76984EB1"/>
    <w:rsid w:val="76991A17"/>
    <w:rsid w:val="76AF4C28"/>
    <w:rsid w:val="76BA50E5"/>
    <w:rsid w:val="76C42FE0"/>
    <w:rsid w:val="76D42781"/>
    <w:rsid w:val="76D81D5A"/>
    <w:rsid w:val="77067FBD"/>
    <w:rsid w:val="771672D4"/>
    <w:rsid w:val="771A06F0"/>
    <w:rsid w:val="771F1767"/>
    <w:rsid w:val="77236D53"/>
    <w:rsid w:val="772A5AB9"/>
    <w:rsid w:val="773714AB"/>
    <w:rsid w:val="773A4C3C"/>
    <w:rsid w:val="774D3DC3"/>
    <w:rsid w:val="776A22E2"/>
    <w:rsid w:val="776D6580"/>
    <w:rsid w:val="778C04E9"/>
    <w:rsid w:val="778F2765"/>
    <w:rsid w:val="77B360B7"/>
    <w:rsid w:val="77E22291"/>
    <w:rsid w:val="780A196C"/>
    <w:rsid w:val="78125407"/>
    <w:rsid w:val="78163E0D"/>
    <w:rsid w:val="78300AEE"/>
    <w:rsid w:val="784F14F7"/>
    <w:rsid w:val="78507637"/>
    <w:rsid w:val="7859168E"/>
    <w:rsid w:val="7867796C"/>
    <w:rsid w:val="787F40EE"/>
    <w:rsid w:val="78894741"/>
    <w:rsid w:val="78985EAB"/>
    <w:rsid w:val="789B6188"/>
    <w:rsid w:val="789E5F80"/>
    <w:rsid w:val="78B4709E"/>
    <w:rsid w:val="78B57BD3"/>
    <w:rsid w:val="78C14DB7"/>
    <w:rsid w:val="78C243BF"/>
    <w:rsid w:val="78D81144"/>
    <w:rsid w:val="78F669DD"/>
    <w:rsid w:val="78F824F7"/>
    <w:rsid w:val="79047D24"/>
    <w:rsid w:val="792073FF"/>
    <w:rsid w:val="79227639"/>
    <w:rsid w:val="7924080B"/>
    <w:rsid w:val="79255B1E"/>
    <w:rsid w:val="79327BE3"/>
    <w:rsid w:val="793423B9"/>
    <w:rsid w:val="794674FF"/>
    <w:rsid w:val="794F5E9D"/>
    <w:rsid w:val="7950305C"/>
    <w:rsid w:val="79596ED9"/>
    <w:rsid w:val="79652E18"/>
    <w:rsid w:val="796606AB"/>
    <w:rsid w:val="79677152"/>
    <w:rsid w:val="797279F9"/>
    <w:rsid w:val="798B6440"/>
    <w:rsid w:val="79976759"/>
    <w:rsid w:val="799C0BFC"/>
    <w:rsid w:val="79B50C6F"/>
    <w:rsid w:val="79D319E8"/>
    <w:rsid w:val="79E06AB0"/>
    <w:rsid w:val="79E20016"/>
    <w:rsid w:val="7A0527D6"/>
    <w:rsid w:val="7A073B40"/>
    <w:rsid w:val="7A1E66A7"/>
    <w:rsid w:val="7A2D347A"/>
    <w:rsid w:val="7A3B4E23"/>
    <w:rsid w:val="7A3E3C86"/>
    <w:rsid w:val="7A421F6B"/>
    <w:rsid w:val="7A46297F"/>
    <w:rsid w:val="7A985BAD"/>
    <w:rsid w:val="7A9C129D"/>
    <w:rsid w:val="7AAC617C"/>
    <w:rsid w:val="7ABB0835"/>
    <w:rsid w:val="7ABE7A74"/>
    <w:rsid w:val="7AC3193E"/>
    <w:rsid w:val="7AD825ED"/>
    <w:rsid w:val="7AE7522B"/>
    <w:rsid w:val="7AF11E4A"/>
    <w:rsid w:val="7AFC756B"/>
    <w:rsid w:val="7B057DC1"/>
    <w:rsid w:val="7B0A616D"/>
    <w:rsid w:val="7B1530FA"/>
    <w:rsid w:val="7B174125"/>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30290D"/>
    <w:rsid w:val="7C3B702B"/>
    <w:rsid w:val="7C4F6F06"/>
    <w:rsid w:val="7C60764A"/>
    <w:rsid w:val="7C7F077B"/>
    <w:rsid w:val="7C865339"/>
    <w:rsid w:val="7C9A2C55"/>
    <w:rsid w:val="7CB570A3"/>
    <w:rsid w:val="7CC85D2E"/>
    <w:rsid w:val="7CD26ED7"/>
    <w:rsid w:val="7CFA0A3C"/>
    <w:rsid w:val="7CFB25C5"/>
    <w:rsid w:val="7CFC5795"/>
    <w:rsid w:val="7D024938"/>
    <w:rsid w:val="7D0432EA"/>
    <w:rsid w:val="7D071A67"/>
    <w:rsid w:val="7D153027"/>
    <w:rsid w:val="7D240558"/>
    <w:rsid w:val="7D4D5E56"/>
    <w:rsid w:val="7D4E4391"/>
    <w:rsid w:val="7D6A50D1"/>
    <w:rsid w:val="7D6C1F0C"/>
    <w:rsid w:val="7D6F7C2B"/>
    <w:rsid w:val="7D7B5BD6"/>
    <w:rsid w:val="7D812A55"/>
    <w:rsid w:val="7D8D661B"/>
    <w:rsid w:val="7D9828AA"/>
    <w:rsid w:val="7DA15DD8"/>
    <w:rsid w:val="7DA54E7B"/>
    <w:rsid w:val="7DAD4B1E"/>
    <w:rsid w:val="7DB549E9"/>
    <w:rsid w:val="7DCE4670"/>
    <w:rsid w:val="7DDB6F5C"/>
    <w:rsid w:val="7DDF08B2"/>
    <w:rsid w:val="7DDF7781"/>
    <w:rsid w:val="7E1F4841"/>
    <w:rsid w:val="7E2F58AE"/>
    <w:rsid w:val="7E464EB2"/>
    <w:rsid w:val="7E5724CE"/>
    <w:rsid w:val="7E5B4BE3"/>
    <w:rsid w:val="7E6C79E8"/>
    <w:rsid w:val="7E6E14DC"/>
    <w:rsid w:val="7E837BED"/>
    <w:rsid w:val="7EB90785"/>
    <w:rsid w:val="7EC7782A"/>
    <w:rsid w:val="7EE97E69"/>
    <w:rsid w:val="7EEF15E6"/>
    <w:rsid w:val="7F0148C4"/>
    <w:rsid w:val="7F074490"/>
    <w:rsid w:val="7F0F3C4C"/>
    <w:rsid w:val="7F102E25"/>
    <w:rsid w:val="7F2B3490"/>
    <w:rsid w:val="7F3B40B9"/>
    <w:rsid w:val="7F4167DE"/>
    <w:rsid w:val="7F81479C"/>
    <w:rsid w:val="7F961536"/>
    <w:rsid w:val="7FB772DD"/>
    <w:rsid w:val="7FBA01B3"/>
    <w:rsid w:val="7FD5728C"/>
    <w:rsid w:val="7FE66A22"/>
    <w:rsid w:val="7FE7381B"/>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link w:val="31"/>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ind w:firstLine="0" w:firstLineChars="0"/>
      <w:outlineLvl w:val="2"/>
    </w:pPr>
    <w:rPr>
      <w:rFonts w:ascii="宋体" w:hAnsi="宋体" w:eastAsia="黑体"/>
      <w:bCs/>
      <w:sz w:val="24"/>
      <w:szCs w:val="28"/>
    </w:rPr>
  </w:style>
  <w:style w:type="paragraph" w:styleId="8">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ind w:firstLine="200"/>
    </w:pPr>
    <w:rPr>
      <w:rFonts w:ascii="Arial" w:hAnsi="Arial" w:cs="Arial"/>
      <w:szCs w:val="20"/>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3"/>
    <w:basedOn w:val="1"/>
    <w:qFormat/>
    <w:uiPriority w:val="0"/>
    <w:pPr>
      <w:spacing w:beforeLines="50" w:line="240" w:lineRule="auto"/>
    </w:pPr>
    <w:rPr>
      <w:rFonts w:ascii="宋体" w:hAnsi="宋体"/>
      <w:szCs w:val="20"/>
    </w:rPr>
  </w:style>
  <w:style w:type="paragraph" w:styleId="12">
    <w:name w:val="Body Text"/>
    <w:basedOn w:val="1"/>
    <w:qFormat/>
    <w:uiPriority w:val="0"/>
    <w:pPr>
      <w:spacing w:after="120"/>
    </w:pPr>
  </w:style>
  <w:style w:type="paragraph" w:styleId="13">
    <w:name w:val="List 2"/>
    <w:basedOn w:val="1"/>
    <w:unhideWhenUsed/>
    <w:qFormat/>
    <w:uiPriority w:val="99"/>
    <w:pPr>
      <w:spacing w:line="240" w:lineRule="auto"/>
      <w:ind w:left="840" w:hanging="420"/>
    </w:pPr>
    <w:rPr>
      <w:rFonts w:ascii="Times New Roman"/>
      <w:sz w:val="21"/>
      <w:szCs w:val="20"/>
    </w:rPr>
  </w:style>
  <w:style w:type="paragraph" w:styleId="14">
    <w:name w:val="Plain Text"/>
    <w:basedOn w:val="1"/>
    <w:qFormat/>
    <w:uiPriority w:val="0"/>
    <w:rPr>
      <w:rFonts w:ascii="宋体" w:hAnsi="Courier New"/>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footnote text"/>
    <w:basedOn w:val="1"/>
    <w:unhideWhenUsed/>
    <w:qFormat/>
    <w:uiPriority w:val="0"/>
    <w:pPr>
      <w:snapToGrid w:val="0"/>
      <w:jc w:val="left"/>
    </w:pPr>
    <w:rPr>
      <w:sz w:val="18"/>
      <w:szCs w:val="18"/>
    </w:rPr>
  </w:style>
  <w:style w:type="paragraph" w:styleId="19">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20">
    <w:name w:val="index 1"/>
    <w:basedOn w:val="1"/>
    <w:next w:val="1"/>
    <w:semiHidden/>
    <w:qFormat/>
    <w:uiPriority w:val="0"/>
    <w:pPr>
      <w:spacing w:line="220" w:lineRule="exact"/>
      <w:jc w:val="center"/>
    </w:pPr>
    <w:rPr>
      <w:rFonts w:ascii="仿宋_GB2312" w:eastAsia="仿宋_GB2312"/>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qFormat/>
    <w:uiPriority w:val="0"/>
    <w:rPr>
      <w:sz w:val="21"/>
      <w:szCs w:val="21"/>
    </w:rPr>
  </w:style>
  <w:style w:type="character" w:styleId="26">
    <w:name w:val="footnote reference"/>
    <w:qFormat/>
    <w:uiPriority w:val="0"/>
    <w:rPr>
      <w:vertAlign w:val="superscript"/>
    </w:rPr>
  </w:style>
  <w:style w:type="paragraph" w:customStyle="1" w:styleId="2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8">
    <w:name w:val="表格"/>
    <w:basedOn w:val="1"/>
    <w:qFormat/>
    <w:uiPriority w:val="0"/>
    <w:pPr>
      <w:spacing w:line="240" w:lineRule="auto"/>
      <w:ind w:firstLine="0" w:firstLineChars="0"/>
      <w:textAlignment w:val="center"/>
    </w:pPr>
    <w:rPr>
      <w:rFonts w:ascii="华文细黑" w:hAnsi="华文细黑"/>
      <w:kern w:val="0"/>
      <w:szCs w:val="20"/>
    </w:rPr>
  </w:style>
  <w:style w:type="paragraph" w:customStyle="1" w:styleId="29">
    <w:name w:val="正文 题目"/>
    <w:basedOn w:val="1"/>
    <w:qFormat/>
    <w:uiPriority w:val="0"/>
    <w:pPr>
      <w:ind w:firstLine="0" w:firstLineChars="0"/>
      <w:jc w:val="center"/>
    </w:pPr>
    <w:rPr>
      <w:rFonts w:ascii="黑体" w:hAnsi="黑体" w:eastAsia="黑体"/>
      <w:sz w:val="28"/>
    </w:rPr>
  </w:style>
  <w:style w:type="paragraph" w:customStyle="1" w:styleId="30">
    <w:name w:val="列出段落1"/>
    <w:basedOn w:val="1"/>
    <w:qFormat/>
    <w:uiPriority w:val="99"/>
    <w:rPr>
      <w:rFonts w:ascii="Times New Roman" w:hAnsi="Times New Roman"/>
    </w:rPr>
  </w:style>
  <w:style w:type="character" w:customStyle="1" w:styleId="31">
    <w:name w:val="标题 2 Char"/>
    <w:link w:val="6"/>
    <w:qFormat/>
    <w:uiPriority w:val="0"/>
    <w:rPr>
      <w:rFonts w:ascii="Arial" w:hAnsi="Arial"/>
      <w:b/>
      <w:bCs/>
      <w:sz w:val="28"/>
      <w:szCs w:val="32"/>
    </w:rPr>
  </w:style>
  <w:style w:type="paragraph" w:customStyle="1" w:styleId="3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WPSOffice手动目录 2"/>
    <w:qFormat/>
    <w:uiPriority w:val="0"/>
    <w:pPr>
      <w:ind w:leftChars="200"/>
    </w:pPr>
    <w:rPr>
      <w:rFonts w:asciiTheme="minorHAnsi" w:hAnsiTheme="minorHAnsi" w:eastAsiaTheme="minorEastAsia" w:cstheme="minorBidi"/>
      <w:sz w:val="20"/>
      <w:szCs w:val="20"/>
    </w:rPr>
  </w:style>
  <w:style w:type="character" w:customStyle="1" w:styleId="35">
    <w:name w:val="font21"/>
    <w:basedOn w:val="23"/>
    <w:qFormat/>
    <w:uiPriority w:val="0"/>
    <w:rPr>
      <w:rFonts w:hint="eastAsia" w:ascii="宋体" w:hAnsi="宋体" w:eastAsia="宋体" w:cs="宋体"/>
      <w:color w:val="000000"/>
      <w:sz w:val="24"/>
      <w:szCs w:val="24"/>
      <w:u w:val="none"/>
    </w:rPr>
  </w:style>
  <w:style w:type="character" w:customStyle="1" w:styleId="36">
    <w:name w:val="font01"/>
    <w:basedOn w:val="23"/>
    <w:qFormat/>
    <w:uiPriority w:val="0"/>
    <w:rPr>
      <w:rFonts w:hint="default" w:ascii="Times New Roman" w:hAnsi="Times New Roman" w:cs="Times New Roman"/>
      <w:color w:val="000000"/>
      <w:sz w:val="24"/>
      <w:szCs w:val="24"/>
      <w:u w:val="none"/>
    </w:rPr>
  </w:style>
  <w:style w:type="character" w:customStyle="1" w:styleId="37">
    <w:name w:val="font11"/>
    <w:basedOn w:val="23"/>
    <w:qFormat/>
    <w:uiPriority w:val="0"/>
    <w:rPr>
      <w:rFonts w:hint="default" w:ascii="Times New Roman" w:hAnsi="Times New Roman" w:cs="Times New Roman"/>
      <w:color w:val="000000"/>
      <w:sz w:val="20"/>
      <w:szCs w:val="20"/>
      <w:u w:val="none"/>
    </w:rPr>
  </w:style>
  <w:style w:type="character" w:customStyle="1" w:styleId="38">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81462-9cdb-487f-b714-a753f3714547}"/>
        <w:style w:val=""/>
        <w:category>
          <w:name w:val="常规"/>
          <w:gallery w:val="placeholder"/>
        </w:category>
        <w:types>
          <w:type w:val="bbPlcHdr"/>
        </w:types>
        <w:behaviors>
          <w:behavior w:val="content"/>
        </w:behaviors>
        <w:description w:val=""/>
        <w:guid w:val="{f8581462-9cdb-487f-b714-a753f3714547}"/>
      </w:docPartPr>
      <w:docPartBody>
        <w:p>
          <w:r>
            <w:rPr>
              <w:color w:val="808080"/>
            </w:rPr>
            <w:t>单击此处输入文字。</w:t>
          </w:r>
        </w:p>
      </w:docPartBody>
    </w:docPart>
    <w:docPart>
      <w:docPartPr>
        <w:name w:val="{bdf27d92-e4f5-4d9e-9fca-b07a32d64a96}"/>
        <w:style w:val=""/>
        <w:category>
          <w:name w:val="常规"/>
          <w:gallery w:val="placeholder"/>
        </w:category>
        <w:types>
          <w:type w:val="bbPlcHdr"/>
        </w:types>
        <w:behaviors>
          <w:behavior w:val="content"/>
        </w:behaviors>
        <w:description w:val=""/>
        <w:guid w:val="{bdf27d92-e4f5-4d9e-9fca-b07a32d64a96}"/>
      </w:docPartPr>
      <w:docPartBody>
        <w:p>
          <w:r>
            <w:rPr>
              <w:color w:val="808080"/>
            </w:rPr>
            <w:t>单击此处输入文字。</w:t>
          </w:r>
        </w:p>
      </w:docPartBody>
    </w:docPart>
    <w:docPart>
      <w:docPartPr>
        <w:name w:val="{e811a058-2f41-4336-a330-95198a920115}"/>
        <w:style w:val=""/>
        <w:category>
          <w:name w:val="常规"/>
          <w:gallery w:val="placeholder"/>
        </w:category>
        <w:types>
          <w:type w:val="bbPlcHdr"/>
        </w:types>
        <w:behaviors>
          <w:behavior w:val="content"/>
        </w:behaviors>
        <w:description w:val=""/>
        <w:guid w:val="{e811a058-2f41-4336-a330-95198a920115}"/>
      </w:docPartPr>
      <w:docPartBody>
        <w:p>
          <w:r>
            <w:rPr>
              <w:color w:val="808080"/>
            </w:rPr>
            <w:t>单击此处输入文字。</w:t>
          </w:r>
        </w:p>
      </w:docPartBody>
    </w:docPart>
    <w:docPart>
      <w:docPartPr>
        <w:name w:val="{84ca204a-1302-4314-9ec2-7dd9e539d80b}"/>
        <w:style w:val=""/>
        <w:category>
          <w:name w:val="常规"/>
          <w:gallery w:val="placeholder"/>
        </w:category>
        <w:types>
          <w:type w:val="bbPlcHdr"/>
        </w:types>
        <w:behaviors>
          <w:behavior w:val="content"/>
        </w:behaviors>
        <w:description w:val=""/>
        <w:guid w:val="{84ca204a-1302-4314-9ec2-7dd9e539d80b}"/>
      </w:docPartPr>
      <w:docPartBody>
        <w:p>
          <w:r>
            <w:rPr>
              <w:color w:val="808080"/>
            </w:rPr>
            <w:t>单击此处输入文字。</w:t>
          </w:r>
        </w:p>
      </w:docPartBody>
    </w:docPart>
    <w:docPart>
      <w:docPartPr>
        <w:name w:val="{947c02ee-80f8-4d52-aa7f-7219eba1310c}"/>
        <w:style w:val=""/>
        <w:category>
          <w:name w:val="常规"/>
          <w:gallery w:val="placeholder"/>
        </w:category>
        <w:types>
          <w:type w:val="bbPlcHdr"/>
        </w:types>
        <w:behaviors>
          <w:behavior w:val="content"/>
        </w:behaviors>
        <w:description w:val=""/>
        <w:guid w:val="{947c02ee-80f8-4d52-aa7f-7219eba1310c}"/>
      </w:docPartPr>
      <w:docPartBody>
        <w:p>
          <w:r>
            <w:rPr>
              <w:color w:val="808080"/>
            </w:rPr>
            <w:t>单击此处输入文字。</w:t>
          </w:r>
        </w:p>
      </w:docPartBody>
    </w:docPart>
    <w:docPart>
      <w:docPartPr>
        <w:name w:val="{686c63b0-85a2-4b6e-b1c6-dc681fcb5cb1}"/>
        <w:style w:val=""/>
        <w:category>
          <w:name w:val="常规"/>
          <w:gallery w:val="placeholder"/>
        </w:category>
        <w:types>
          <w:type w:val="bbPlcHdr"/>
        </w:types>
        <w:behaviors>
          <w:behavior w:val="content"/>
        </w:behaviors>
        <w:description w:val=""/>
        <w:guid w:val="{686c63b0-85a2-4b6e-b1c6-dc681fcb5cb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同路天阔</cp:lastModifiedBy>
  <cp:lastPrinted>2022-01-04T08:42:00Z</cp:lastPrinted>
  <dcterms:modified xsi:type="dcterms:W3CDTF">2022-01-05T05:32:27Z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A95309AA0A4846159BC17FFD7BF113BA</vt:lpwstr>
  </property>
</Properties>
</file>