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2022年度安徽交运集团汽车销售有限公司5.1</w:t>
      </w:r>
      <w:r>
        <w:rPr>
          <w:rFonts w:hint="eastAsia" w:ascii="方正粗黑宋简体" w:hAnsi="方正粗黑宋简体" w:eastAsia="方正粗黑宋简体" w:cs="宋体"/>
          <w:b/>
          <w:bCs/>
          <w:sz w:val="44"/>
          <w:szCs w:val="44"/>
          <w:lang w:val="en-US" w:eastAsia="zh-CN"/>
        </w:rPr>
        <w:t>1</w:t>
      </w:r>
      <w:r>
        <w:rPr>
          <w:rFonts w:hint="eastAsia" w:ascii="方正粗黑宋简体" w:hAnsi="方正粗黑宋简体" w:eastAsia="方正粗黑宋简体" w:cs="宋体"/>
          <w:b/>
          <w:bCs/>
          <w:sz w:val="44"/>
          <w:szCs w:val="44"/>
        </w:rPr>
        <w:t>特种车辆采购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5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1</w:t>
      </w:r>
      <w:r>
        <w:rPr>
          <w:rFonts w:hint="eastAsia" w:ascii="Times New Roman" w:hAnsi="Times New Roman" w:cs="Times New Roman"/>
          <w:sz w:val="32"/>
          <w:szCs w:val="32"/>
          <w:u w:val="single"/>
          <w:lang w:val="en-US" w:eastAsia="zh-CN"/>
        </w:rPr>
        <w:t>1</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4489_WPSOffice_Level2"/>
      <w:bookmarkStart w:id="4" w:name="_Toc12765"/>
      <w:bookmarkStart w:id="5" w:name="_Toc10395_WPSOffice_Level2"/>
      <w:bookmarkStart w:id="6" w:name="_Toc525632585"/>
      <w:bookmarkStart w:id="7" w:name="_Toc6496_WPSOffice_Level2"/>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2022年度安徽交运集团汽车销售有限公司5.1</w:t>
      </w:r>
      <w:r>
        <w:rPr>
          <w:rFonts w:hint="eastAsia" w:ascii="宋体" w:hAnsi="宋体" w:eastAsia="宋体" w:cs="宋体"/>
          <w:szCs w:val="21"/>
          <w:u w:val="single"/>
          <w:lang w:val="en-US" w:eastAsia="zh-CN"/>
        </w:rPr>
        <w:t>1</w:t>
      </w:r>
      <w:r>
        <w:rPr>
          <w:rFonts w:hint="eastAsia" w:ascii="宋体" w:hAnsi="宋体" w:eastAsia="宋体" w:cs="宋体"/>
          <w:szCs w:val="21"/>
          <w:u w:val="single"/>
        </w:rPr>
        <w:t>特种车辆采购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采购除雪车1台，进一步提升辖段除雪保畅通能力</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8128_WPSOffice_Level2"/>
      <w:bookmarkStart w:id="12" w:name="_Toc17858_WPSOffice_Level2"/>
      <w:bookmarkStart w:id="13" w:name="_Toc18453"/>
      <w:bookmarkStart w:id="14" w:name="_Toc18367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szCs w:val="21"/>
          <w:u w:val="single"/>
        </w:rPr>
        <w:t>采购</w:t>
      </w:r>
      <w:r>
        <w:rPr>
          <w:rFonts w:hint="eastAsia" w:ascii="Times New Roman" w:hAnsi="Times New Roman" w:cs="Times New Roman"/>
          <w:szCs w:val="22"/>
          <w:u w:val="single"/>
        </w:rPr>
        <w:t>除雪车1台，适用于高速公路除雪工作</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rPr>
        <w:t>80</w:t>
      </w:r>
      <w:r>
        <w:rPr>
          <w:rFonts w:ascii="Times New Roman" w:hAnsi="Times New Roman" w:cs="Times New Roman"/>
          <w:szCs w:val="22"/>
          <w:u w:val="single"/>
        </w:rPr>
        <w:t xml:space="preserve"> </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合同签订之日起45个工作日。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525632587"/>
      <w:bookmarkStart w:id="20" w:name="_Toc3714"/>
      <w:bookmarkStart w:id="21" w:name="_Toc1622_WPSOffice_Level2"/>
      <w:bookmarkStart w:id="22" w:name="_Toc22379_WPSOffice_Level2"/>
      <w:bookmarkStart w:id="23" w:name="_Toc6388"/>
      <w:bookmarkStart w:id="24" w:name="_Toc31673_WPSOffice_Level2"/>
      <w:bookmarkStart w:id="25" w:name="_Toc29516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车辆购置税，销售差价（签订的厂家合同价为中标价--销售差价）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rPr>
        <w:t>5</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29452_WPSOffice_Level2"/>
      <w:bookmarkStart w:id="28" w:name="_Toc525632588"/>
      <w:bookmarkStart w:id="29" w:name="_Toc25666_WPSOffice_Level2"/>
      <w:bookmarkStart w:id="30" w:name="_Toc1994"/>
      <w:bookmarkStart w:id="31" w:name="_Toc4109_WPSOffice_Level2"/>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18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bookmarkStart w:id="169" w:name="_GoBack"/>
      <w:bookmarkEnd w:id="169"/>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响应保证金的递交形式：响应保证金必须由报价人的基本账户一次性汇入本公告所示账号，并在2022年 5</w:t>
      </w:r>
      <w:r>
        <w:rPr>
          <w:rFonts w:ascii="Times New Roman" w:hAnsi="Times New Roman"/>
        </w:rPr>
        <w:t xml:space="preserve"> </w:t>
      </w:r>
      <w:r>
        <w:rPr>
          <w:rFonts w:hint="eastAsia" w:ascii="Times New Roman" w:hAnsi="Times New Roman"/>
        </w:rPr>
        <w:t>月 17</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8571_WPSOffice_Level2"/>
      <w:bookmarkStart w:id="39" w:name="_Toc20572_WPSOffice_Level2"/>
      <w:bookmarkStart w:id="40" w:name="_Toc321_WPSOffice_Level2"/>
      <w:bookmarkStart w:id="41" w:name="_Toc26829"/>
      <w:bookmarkStart w:id="42" w:name="_Toc14943_WPSOffice_Level2"/>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ascii="Times New Roman" w:hAnsi="Times New Roman"/>
          <w:color w:val="auto"/>
          <w:sz w:val="21"/>
          <w:szCs w:val="22"/>
        </w:rPr>
        <w:t xml:space="preserve"> 5 </w:t>
      </w:r>
      <w:r>
        <w:rPr>
          <w:rFonts w:hint="default" w:ascii="Times New Roman" w:hAnsi="Times New Roman"/>
          <w:color w:val="auto"/>
          <w:sz w:val="21"/>
          <w:szCs w:val="22"/>
        </w:rPr>
        <w:t>月</w:t>
      </w:r>
      <w:r>
        <w:rPr>
          <w:rFonts w:ascii="Times New Roman" w:hAnsi="Times New Roman"/>
          <w:color w:val="auto"/>
          <w:sz w:val="21"/>
          <w:szCs w:val="22"/>
        </w:rPr>
        <w:t xml:space="preserve"> 1</w:t>
      </w:r>
      <w:r>
        <w:rPr>
          <w:rFonts w:hint="eastAsia" w:ascii="Times New Roman" w:hAnsi="Times New Roman"/>
          <w:color w:val="auto"/>
          <w:sz w:val="21"/>
          <w:szCs w:val="22"/>
          <w:lang w:val="en-US" w:eastAsia="zh-CN"/>
        </w:rPr>
        <w:t>1</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14201263"/>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整车品牌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4668" w:type="dxa"/>
            <w:vAlign w:val="center"/>
          </w:tcPr>
          <w:p>
            <w:pPr>
              <w:pStyle w:val="2"/>
              <w:rPr>
                <w:rFonts w:hint="eastAsia" w:eastAsia="宋体"/>
                <w:lang w:eastAsia="zh-CN"/>
              </w:rPr>
            </w:pPr>
            <w:r>
              <w:rPr>
                <w:rFonts w:hint="eastAsia" w:ascii="Times New Roman" w:hAnsi="Times New Roman" w:eastAsia="宋体" w:cs="Times New Roman"/>
                <w:szCs w:val="21"/>
              </w:rPr>
              <w:t>国内知名品牌</w:t>
            </w:r>
            <w:r>
              <w:rPr>
                <w:rFonts w:hint="eastAsia" w:ascii="Times New Roman" w:hAnsi="Times New Roman" w:eastAsia="宋体" w:cs="Times New Roman"/>
                <w:szCs w:val="21"/>
                <w:lang w:eastAsia="zh-CN"/>
              </w:rPr>
              <w:t>（中国驰名商标）</w:t>
            </w:r>
            <w:r>
              <w:rPr>
                <w:rFonts w:hint="eastAsia" w:ascii="Times New Roman" w:hAnsi="Times New Roman" w:eastAsia="宋体" w:cs="Times New Roman"/>
                <w:szCs w:val="21"/>
              </w:rPr>
              <w:t xml:space="preserve">得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分。其他不加分</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2、报价文件中提供主要技术参数均满足询价文件要求的，得基本分18分；在此基础上：</w:t>
            </w:r>
          </w:p>
          <w:p>
            <w:pPr>
              <w:pStyle w:val="2"/>
            </w:pPr>
            <w:r>
              <w:rPr>
                <w:rFonts w:hint="eastAsia"/>
              </w:rPr>
              <w:t>主要技术参数优于询价文件要求的，每有一项加2分，本项最多加10分。主要技术参数低于询价文件要求的，每项扣2分，扣完为止。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投标人或所投设备制造商提供的近三年（2019年</w:t>
            </w:r>
            <w:r>
              <w:rPr>
                <w:rFonts w:hint="eastAsia"/>
                <w:lang w:val="en-US" w:eastAsia="zh-CN"/>
              </w:rPr>
              <w:t>5</w:t>
            </w:r>
            <w:r>
              <w:rPr>
                <w:rFonts w:hint="eastAsia"/>
              </w:rPr>
              <w:t>月1日至响应文件递交截止日期，以合同签订时间为准）每增加1台业绩得0.5分，满分</w:t>
            </w:r>
            <w:r>
              <w:rPr>
                <w:rFonts w:hint="eastAsia"/>
                <w:lang w:val="en-US" w:eastAsia="zh-CN"/>
              </w:rPr>
              <w:t>2</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4. 所投品牌设备制造商企业入选国家工信部绿色制造名单的得2分；以上提供证明文件复印件，原件备查。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6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2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一</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多功能除雪车买方要求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1.</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用途: 本车辆用于高速公路畅通保障应急养护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数量：1辆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3.</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w:t>
            </w: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主车底盘生产厂家/产地/型号(不低于斯太尔、濠泺或更优品牌)：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提供整车型号：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4.2.4</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提供3C认证和环保公告并包含在国家税务总局免征车辆购置附加税图册内（报价文件中须提供3C认证证书复印件，以及环保公告复印件和免税图册所在页码。）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4.2.5</w:t>
            </w: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4.2.6</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*6×4底盘总质量：≥25000kg，额定载质量≥5920kg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4.2.7</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4.2.8</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*发动机功率（不低于潍柴、玉柴发动机或更优品牌）：≥279kw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4.2.9</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4.2.10</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4.2.11</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轮胎：雪地防滑钢丝轮胎或全钢丝子午线11.00R20或更优，配有备用胎（参考品牌：玲珑、朝阳、三角或更优）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整车外形尺寸（增加雪板后，长×宽×高mm）： 11500±×2500±×3450±500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4.2.13</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货箱尺寸（长×宽×高mm）： 5600±×2300±×1500±500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4.2.14</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车载液压系统，全功率取力器直接通过发动机取力(须在报价文件中提供图片）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4.2.15</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4.2.16</w:t>
            </w: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推雪板铲刃具有耐磨性和抗冲击能力强及可更换的特点，采用弹簧钢钢板（或锰钢）或更优材料，寿命：≥300h，4块分段铲刃可以上下互换，单条铲刃尺寸（长*宽*高）≥750*270*16mm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4.2.17</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*推雪板宽：≥3200mm，工作宽度：≥2800mm, 可液压控制左右摆动角度左右摆动角度：≥0-±25°，有限位功能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4.2.18</w:t>
            </w: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*推雪板高：≥1000mm，除雪板重量：≥1000kg，对压实雪具有强制下压功能，保证在短时间内清除压实雪，采用平行四连杆机构，不使用钢丝绳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4.2.19</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4.2.20</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除雪板可采用弯曲流线型设计从而高速下具有抛雪功能。板面有钢制框架保护或配加强筋保护（加强筋个数： 10±3），具有抗撞击能力。（提供带彩色图片的说明）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4.2.21</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推雪板液压系统驱动全部各种动作并可车内实施控制，每车配置备用液压油管1套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*推雪板具有自动避障和自动复位功能，避障形式:采用压缩式弹簧避障，撞击障碍物后雪板整体可自动翻转或铲刃分段式避障，越障高度：≥100mm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4.2.23</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推雪板要求具有路沿防碰撞功能和防伸缩缝装置，防撞装置尺寸（长×直径）：≥220×70mm，雪铲两边安装示廓示高LED工作警示灯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4.2.24</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4.2.25</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*撒布机料仓容量：≥12m³，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4.2.26</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4.2.27</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4.2.28</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4.2.29</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撒布盘为全不锈钢材质，直径约500mm；撒布盘对地高度可任意调节，向上翻转带助力装置；以适应不同车型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4.2.30</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4.2.31</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出料控制板调制整采用电动控制方式，可在驾驶室内调整出料口大小。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撒不器材质为不锈钢，撒不器对低地高度可任意调节。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4.2.32</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采用橡胶皮带式输料器，坚固耐用抗腐蚀性优良，履带有效宽度：≥450mm，液压泵带动液压变速箱，驱动输料器，能避免打滑、丢转产生的漏撒、撒布不均匀等现象，具有对物料的削切功能，削切板结且体积较大的物料，装有振动装置以保障出料口不出现堵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4.2.33</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4.2.34</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料仓内部设有防止融雪剂板结的装置，该装置用于防止由于融雪剂因运输颠簸或受潮板结而无法输送的现象；履带上方设有倒V形防堵塞隔板，减少融雪剂对输料器（履带）的压力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4.2.35</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4.2.36</w:t>
            </w:r>
          </w:p>
        </w:tc>
        <w:tc>
          <w:tcPr>
            <w:tcW w:w="8620" w:type="dxa"/>
            <w:tcBorders>
              <w:tl2br w:val="nil"/>
              <w:tr2bl w:val="nil"/>
            </w:tcBorders>
          </w:tcPr>
          <w:p>
            <w:pPr>
              <w:adjustRightInd w:val="0"/>
              <w:snapToGrid w:val="0"/>
              <w:jc w:val="left"/>
              <w:rPr>
                <w:rFonts w:ascii="宋体" w:hAnsi="宋体"/>
                <w:szCs w:val="21"/>
              </w:rPr>
            </w:pPr>
            <w:r>
              <w:rPr>
                <w:rFonts w:hint="eastAsia" w:ascii="宋体" w:hAnsi="宋体"/>
                <w:szCs w:val="21"/>
              </w:rPr>
              <w:t>配有可供设备拆卸的千斤顶式自卸支腿，自卸高度满足1000mm≤自卸高度≤1600mm，以便适应不同车型及不同区域储存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4.2.37</w:t>
            </w: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026" w:type="dxa"/>
            <w:tcBorders>
              <w:tl2br w:val="nil"/>
              <w:tr2bl w:val="nil"/>
            </w:tcBorders>
          </w:tcPr>
          <w:p>
            <w:pPr>
              <w:adjustRightInd w:val="0"/>
              <w:snapToGrid w:val="0"/>
              <w:jc w:val="left"/>
              <w:rPr>
                <w:rFonts w:ascii="宋体" w:hAnsi="宋体"/>
                <w:szCs w:val="21"/>
              </w:rPr>
            </w:pP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4.2.38</w:t>
            </w: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撒布器上装有出料传感器，可在汽车驾驶室掌握撒布器出料情况。在汽车驾驶室可调整撒布量大小，具有光控料空报警装置；配有双向箭头指示灯和工作照明灯；另加装大功率报警器（喇叭安装在尾部向后）。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szCs w:val="21"/>
              </w:rPr>
            </w:pPr>
            <w:r>
              <w:rPr>
                <w:rFonts w:hint="eastAsia" w:ascii="宋体" w:hAnsi="宋体"/>
                <w:szCs w:val="21"/>
              </w:rPr>
              <w:t>4.2.39</w:t>
            </w: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每辆车提供1套知名品牌撒布机清洗设备1套撒布系统防雨罩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4.2.40</w:t>
            </w: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整车车身颜色为工程黄色，均须安装晚间工作时的车后双向灯，</w:t>
            </w:r>
            <w:r>
              <w:rPr>
                <w:rFonts w:hint="eastAsia" w:ascii="Calibri" w:hAnsi="Calibri" w:eastAsia="宋体" w:cs="Times New Roman"/>
                <w:szCs w:val="21"/>
              </w:rPr>
              <w:t>驾驶室顶部安装长排警灯，</w:t>
            </w:r>
            <w:r>
              <w:rPr>
                <w:rFonts w:hint="eastAsia" w:ascii="宋体" w:hAnsi="宋体"/>
                <w:szCs w:val="21"/>
              </w:rPr>
              <w:t>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4.2.41</w:t>
            </w:r>
          </w:p>
        </w:tc>
        <w:tc>
          <w:tcPr>
            <w:tcW w:w="8620"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交货期：≤60 天（</w:t>
            </w:r>
            <w:r>
              <w:rPr>
                <w:rFonts w:hint="eastAsia" w:ascii="宋体" w:hAnsi="宋体" w:cs="宋体"/>
                <w:kern w:val="0"/>
                <w:sz w:val="22"/>
                <w:szCs w:val="22"/>
              </w:rPr>
              <w:t>合同签订后60天内</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4.2.42</w:t>
            </w:r>
          </w:p>
        </w:tc>
        <w:tc>
          <w:tcPr>
            <w:tcW w:w="8620" w:type="dxa"/>
            <w:tcBorders>
              <w:tl2br w:val="nil"/>
              <w:tr2bl w:val="nil"/>
            </w:tcBorders>
            <w:vAlign w:val="center"/>
          </w:tcPr>
          <w:p>
            <w:pPr>
              <w:adjustRightInd w:val="0"/>
              <w:snapToGrid w:val="0"/>
              <w:jc w:val="left"/>
              <w:rPr>
                <w:rFonts w:ascii="宋体" w:hAnsi="宋体" w:eastAsia="宋体"/>
                <w:szCs w:val="21"/>
              </w:rPr>
            </w:pPr>
            <w:r>
              <w:rPr>
                <w:rFonts w:hint="eastAsia" w:ascii="宋体" w:hAnsi="宋体"/>
                <w:szCs w:val="21"/>
              </w:rPr>
              <w:t>质保期：≥2年</w:t>
            </w:r>
          </w:p>
        </w:tc>
      </w:tr>
    </w:tbl>
    <w:p>
      <w:pPr>
        <w:rPr>
          <w:rFonts w:ascii="Times New Roman" w:hAnsi="Times New Roman" w:eastAsia="宋体" w:cs="Times New Roman"/>
        </w:rPr>
      </w:pPr>
    </w:p>
    <w:p>
      <w:pPr>
        <w:pStyle w:val="2"/>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hint="eastAsia" w:ascii="宋体" w:hAnsi="宋体"/>
          <w:szCs w:val="21"/>
        </w:rPr>
        <w:t>本货物需求一览表中标注★号的内容为评标的实质性要求和条件，投标人必须完全响应，投标人有一项不满足的，其投标将被否决。未标注★号的内容为一般技术指标,必须满足90%以上，</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5299"/>
      <w:bookmarkStart w:id="82" w:name="_Toc28261"/>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2.2.3报价文件中对 2.（1）中所列各项指标和要求须作逐项明确响应。</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3.7提供到货天数：合同签订后45个工作日。</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3.8提供交货前办理相关天数（收到中标通知起，货到并办完所有入户相关费用后最快天数）：合同签订后45个工作日。</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123"/>
      <w:bookmarkStart w:id="84" w:name="_Toc29210"/>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ascii="宋体" w:hAnsi="宋体" w:cs="方正小标宋简体"/>
          <w:bCs/>
          <w:szCs w:val="21"/>
        </w:rPr>
      </w:pPr>
    </w:p>
    <w:p>
      <w:pPr>
        <w:pStyle w:val="2"/>
        <w:rPr>
          <w:rFonts w:ascii="宋体" w:hAnsi="宋体" w:cs="方正小标宋简体"/>
          <w:bCs/>
          <w:szCs w:val="21"/>
        </w:rPr>
      </w:pPr>
    </w:p>
    <w:p>
      <w:pPr>
        <w:pStyle w:val="10"/>
        <w:spacing w:line="360" w:lineRule="auto"/>
        <w:jc w:val="both"/>
        <w:rPr>
          <w:rFonts w:ascii="仿宋" w:hAnsi="仿宋" w:eastAsia="仿宋" w:cs="仿宋"/>
          <w:b/>
          <w:bCs/>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color w:val="FF0000"/>
                <w:sz w:val="24"/>
              </w:rPr>
            </w:pPr>
            <w:r>
              <w:rPr>
                <w:rFonts w:hint="eastAsia"/>
                <w:sz w:val="24"/>
              </w:rPr>
              <w:t>除雪车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344" w:type="dxa"/>
            <w:vAlign w:val="center"/>
          </w:tcPr>
          <w:p>
            <w:pPr>
              <w:widowControl/>
              <w:jc w:val="center"/>
              <w:textAlignment w:val="center"/>
              <w:rPr>
                <w:rFonts w:ascii="宋体" w:hAnsi="宋体" w:eastAsia="宋体" w:cs="宋体"/>
                <w:sz w:val="24"/>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774"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一</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多功能除雪车买方要求</w:t>
            </w:r>
          </w:p>
        </w:tc>
        <w:tc>
          <w:tcPr>
            <w:tcW w:w="1980" w:type="dxa"/>
            <w:tcBorders>
              <w:tl2br w:val="nil"/>
              <w:tr2bl w:val="nil"/>
            </w:tcBorders>
          </w:tcPr>
          <w:p>
            <w:pPr>
              <w:adjustRightInd w:val="0"/>
              <w:snapToGrid w:val="0"/>
              <w:ind w:firstLine="420" w:firstLineChars="200"/>
              <w:jc w:val="left"/>
              <w:rPr>
                <w:rFonts w:hint="eastAsia" w:ascii="宋体" w:hAnsi="宋体" w:eastAsiaTheme="minorEastAsia"/>
                <w:szCs w:val="21"/>
                <w:lang w:val="en-US" w:eastAsia="zh-CN"/>
              </w:rPr>
            </w:pPr>
            <w:r>
              <w:rPr>
                <w:rFonts w:hint="eastAsia" w:ascii="宋体" w:hAnsi="宋体"/>
                <w:szCs w:val="21"/>
                <w:lang w:val="en-US" w:eastAsia="zh-CN"/>
              </w:rPr>
              <w:t>卖方响应</w:t>
            </w:r>
          </w:p>
        </w:tc>
        <w:tc>
          <w:tcPr>
            <w:tcW w:w="1140" w:type="dxa"/>
            <w:tcBorders>
              <w:tl2br w:val="nil"/>
              <w:tr2bl w:val="nil"/>
            </w:tcBorders>
          </w:tcPr>
          <w:p>
            <w:pPr>
              <w:adjustRightInd w:val="0"/>
              <w:snapToGrid w:val="0"/>
              <w:ind w:firstLine="210" w:firstLineChars="100"/>
              <w:jc w:val="left"/>
              <w:rPr>
                <w:rFonts w:hint="eastAsia" w:ascii="宋体" w:hAnsi="宋体" w:eastAsiaTheme="minorEastAsia"/>
                <w:szCs w:val="21"/>
                <w:lang w:eastAsia="zh-CN"/>
              </w:rPr>
            </w:pPr>
            <w:r>
              <w:rPr>
                <w:rFonts w:hint="eastAsia" w:ascii="宋体" w:hAnsi="宋体"/>
                <w:szCs w:val="21"/>
                <w:lang w:eastAsia="zh-CN"/>
              </w:rPr>
              <w:t>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1.</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用途: 本车辆用于高速公路畅通保障应急养护</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数量：1辆</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3.</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供货范围</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整车，含雪铲（和扫雪滚刷可快速互换）和融雪剂撒布系统。</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特种工具</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运转2000小时备品备件及专用工具</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运输和保险仓储等</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技术数据</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多功能除雪车性能及配置</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w:t>
            </w: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用途：用于高速公路道桥面冬季除雪作业。</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主车底盘生产厂家/产地/型号(不低于斯太尔、濠泺或更优品牌)：   /    /</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提供整车型号：</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4.2.4</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提供3C认证和环保公告并包含在国家税务总局免征车辆购置附加税图册内（报价文件中须提供3C认证证书复印件，以及环保公告复印件和免税图册所在页码。）</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4.2.5</w:t>
            </w: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*整车形式：车底盘前置推雪铲、后装融雪剂撒布系统。</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4.2.6</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*6×4底盘总质量：≥25000kg，额定载质量≥5920kg</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4.2.7</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 xml:space="preserve">提供柴油发动机生产厂家/产地/型号（不低于潍柴、玉柴发动机或更优品牌）。 </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4.2.8</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*发动机功率（不低于潍柴、玉柴发动机或更优品牌）：≥279kw</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4.2.9</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*排放国VI或更优</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*轴距：≥4125+1350mm</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4.2.10</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*变速箱：≥9档</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4.2.11</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轮胎：雪地防滑钢丝轮胎或全钢丝子午线11.00R20或更优，配有备用胎（参考品牌：玲珑、朝阳、三角或更优）</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整车外形尺寸（增加雪板后，长×宽×高mm）： 11500±×2500±×3450±500</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4.2.13</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货箱尺寸（长×宽×高mm）： 5600±×2300±×1500±500</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4.2.14</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车载液压系统，全功率取力器直接通过发动机取力(须在报价文件中提供图片）</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4.2.15</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推雪板采用高强度低合金钢，具有快速连接系统，还可以和其它前置设备与车辆（如扫雪滚刷，冬季扫雪/夏季清扫）快速互换</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4.2.16</w:t>
            </w: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推雪板铲刃具有耐磨性和抗冲击能力强及可更换的特点，采用弹簧钢钢板（或锰钢）或更优材料，寿命：≥300h，4块分段铲刃可以上下互换，单条铲刃尺寸（长*宽*高）≥750*270*16mm</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4.2.17</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*推雪板宽：≥3200mm，工作宽度：≥2800mm, 可液压控制左右摆动角度左右摆动角度：≥0-±25°，有限位功能</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4.2.18</w:t>
            </w: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*推雪板高：≥1000mm，除雪板重量：≥1000kg，对压实雪具有强制下压功能，保证在短时间内清除压实雪，采用平行四连杆机构，不使用钢丝绳</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4.2.19</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最大除雪速度：≥50km/h</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4.2.20</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除雪板可采用弯曲流线型设计从而高速下具有抛雪功能。板面有钢制框架保护或配加强筋保护（加强筋个数： 10±3），具有抗撞击能力。（提供带彩色图片的说明）</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4.2.21</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推雪板液压系统驱动全部各种动作并可车内实施控制，每车配置备用液压油管1套</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*推雪板具有自动避障和自动复位功能，避障形式:采用压缩式弹簧避障，撞击障碍物后雪板整体可自动翻转或铲刃分段式避障，越障高度：≥100mm</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4.2.23</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推雪板要求具有路沿防碰撞功能和防伸缩缝装置，防撞装置尺寸（长×直径）：≥220×70mm，雪铲两边安装示廓示高LED工作警示灯</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4.2.24</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4.2.25</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*撒布机料仓容量：≥12m³，</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4.2.26</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撒布机由底盘取力液压驱动，具有智能式实时反馈控制并与车速相关联（撒布密度与撒布宽度一旦设定不受车速变化的影响而变化），撒盐或撒砂量：30～300g/m³ 或10～70 g/m2</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4.2.27</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*撒布机应具有左右对称、单左方向、单右方向撒布三种撒布模式，撒布宽度：3-10m之间任意可调，可在驾驶室内实现左侧或右侧的单侧撒布（须附控制装置照片并说明原理），安装有缺料报警装置</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*整车前后安装摄像头，驾驶室内置显示屏，可在驾驶室内观看车前后情况及撒布机撒布情况。</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4.2.28</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*最大撒布作业速度：≥50km/h，在驾驶室内控制，可随时对撒布机启动及关闭、撒布量大小、撒盐盘（拨料器）转速等进行任意调节</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4.2.29</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撒布盘为全不锈钢材质，直径约500mm；撒布盘对地高度可任意调节，向上翻转带助力装置；以适应不同车型</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4.2.30</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撒布机出料槽高度可任意调节，以方便板结融雪物料清除</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4.2.31</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撒布机应可实现不经撒布盘，可方便卸除撒布机内剩余融雪剂</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出料控制板调制整采用电动控制方式，可在驾驶室内调整出料口大小。</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撒不器材质为不锈钢，撒不器对低地高度可任意调节。</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4.2.32</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采用橡胶皮带式输料器，坚固耐用抗腐蚀性优良，履带有效宽度：≥450mm，液压泵带动液压变速箱，驱动输料器，能避免打滑、丢转产生的漏撒、撒布不均匀等现象，具有对物料的削切功能，削切板结且体积较大的物料，装有振动装置以保障出料口不出现堵塞</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4.2.33</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料仓上部配有开合自如的遮挡篷布，具备手动启闭该防雨篷布的装置，带张紧器；料仓上部带有过滤安全网，可以滤除融雪剂中大型异物，保护设备安全</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*车厢与盐箱间加装5～10cm高度横钢，便于清洗车厢内盐料。（方向沿车头到车尾。）</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4.2.34</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料仓内部设有防止融雪剂板结的装置，该装置用于防止由于融雪剂因运输颠簸或受潮板结而无法输送的现象；履带上方设有倒V形防堵塞隔板，减少融雪剂对输料器（履带）的压力</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4.2.35</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撒布机出料槽及拨盘装卸，能方便拆卸、安装，可实现输料器的单独运转，便于清空箱体内剩余融雪剂</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*撒布机出料槽上方四周安装防护栏，防护栏高度不低于1.5m.确保工人作业安全。车头顶上安装长度不低于60cmLED(宽、高适中）照明灯，以确保行车照明。</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4.2.36</w:t>
            </w:r>
          </w:p>
        </w:tc>
        <w:tc>
          <w:tcPr>
            <w:tcW w:w="4656" w:type="dxa"/>
            <w:tcBorders>
              <w:tl2br w:val="nil"/>
              <w:tr2bl w:val="nil"/>
            </w:tcBorders>
          </w:tcPr>
          <w:p>
            <w:pPr>
              <w:adjustRightInd w:val="0"/>
              <w:snapToGrid w:val="0"/>
              <w:jc w:val="left"/>
              <w:rPr>
                <w:rFonts w:ascii="宋体" w:hAnsi="宋体"/>
                <w:szCs w:val="21"/>
              </w:rPr>
            </w:pPr>
            <w:r>
              <w:rPr>
                <w:rFonts w:hint="eastAsia" w:ascii="宋体" w:hAnsi="宋体"/>
                <w:szCs w:val="21"/>
              </w:rPr>
              <w:t>配有可供设备拆卸的千斤顶式自卸支腿，自卸高度满足1000mm≤自卸高度≤1600mm，以便适应不同车型及不同区域储存</w:t>
            </w: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4.2.37</w:t>
            </w: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撒布机安装适当高度LED工作指向及警示灯</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雪铲两边安装适当高度LED工作警示灯,雪铲上方加防护装置，防止冰雪飞溅至车辆挡风玻璃。</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4.2.38</w:t>
            </w: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撒布器上装有出料传感器，可在汽车驾驶室掌握撒布器出料情况。在汽车驾驶室可调整撒布量大小，具有光控料空报警装置；配有双向箭头指示灯和工作照明灯；另加装大功率报警器（喇叭安装在尾部向后）。</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r>
              <w:rPr>
                <w:rFonts w:hint="eastAsia" w:ascii="宋体" w:hAnsi="宋体"/>
                <w:szCs w:val="21"/>
              </w:rPr>
              <w:t>4.2.39</w:t>
            </w: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每辆车提供1套知名品牌撒布机清洗设备1套撒布系统防雨罩</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4.2.40</w:t>
            </w: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整车车身颜色为工程黄色，均须安装晚间工作时的车后双向灯，</w:t>
            </w:r>
            <w:r>
              <w:rPr>
                <w:rFonts w:hint="eastAsia" w:ascii="Calibri" w:hAnsi="Calibri" w:eastAsia="宋体" w:cs="Times New Roman"/>
                <w:szCs w:val="21"/>
              </w:rPr>
              <w:t>驾驶室顶部安装长排警灯，</w:t>
            </w:r>
            <w:r>
              <w:rPr>
                <w:rFonts w:hint="eastAsia" w:ascii="宋体" w:hAnsi="宋体"/>
                <w:szCs w:val="21"/>
              </w:rPr>
              <w:t>驾驶室内应有收音机等设备，带冷暖空调，座位：≥2；均带助力转向装置、随车简易车辆维修工具、轮胎装卸工具、10吨千斤顶、维护用梯子等。</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4.2.41</w:t>
            </w:r>
          </w:p>
        </w:tc>
        <w:tc>
          <w:tcPr>
            <w:tcW w:w="4656" w:type="dxa"/>
            <w:tcBorders>
              <w:tl2br w:val="nil"/>
              <w:tr2bl w:val="nil"/>
            </w:tcBorders>
            <w:vAlign w:val="center"/>
          </w:tcPr>
          <w:p>
            <w:pPr>
              <w:adjustRightInd w:val="0"/>
              <w:snapToGrid w:val="0"/>
              <w:jc w:val="left"/>
              <w:rPr>
                <w:rFonts w:ascii="宋体" w:hAnsi="宋体"/>
                <w:szCs w:val="21"/>
              </w:rPr>
            </w:pPr>
            <w:r>
              <w:rPr>
                <w:rFonts w:hint="eastAsia" w:ascii="宋体" w:hAnsi="宋体"/>
                <w:szCs w:val="21"/>
              </w:rPr>
              <w:t>交货期：≤60 天（</w:t>
            </w:r>
            <w:r>
              <w:rPr>
                <w:rFonts w:hint="eastAsia" w:ascii="宋体" w:hAnsi="宋体" w:cs="宋体"/>
                <w:kern w:val="0"/>
                <w:sz w:val="22"/>
                <w:szCs w:val="22"/>
              </w:rPr>
              <w:t>合同签订后60天内</w:t>
            </w:r>
            <w:r>
              <w:rPr>
                <w:rFonts w:hint="eastAsia" w:ascii="宋体" w:hAnsi="宋体"/>
                <w:szCs w:val="21"/>
              </w:rPr>
              <w:t>）</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eastAsia="宋体"/>
                <w:szCs w:val="21"/>
              </w:rPr>
            </w:pPr>
            <w:r>
              <w:rPr>
                <w:rFonts w:hint="eastAsia" w:ascii="宋体" w:hAnsi="宋体"/>
                <w:szCs w:val="21"/>
              </w:rPr>
              <w:t>4.2.42</w:t>
            </w:r>
          </w:p>
        </w:tc>
        <w:tc>
          <w:tcPr>
            <w:tcW w:w="4656" w:type="dxa"/>
            <w:tcBorders>
              <w:tl2br w:val="nil"/>
              <w:tr2bl w:val="nil"/>
            </w:tcBorders>
            <w:vAlign w:val="center"/>
          </w:tcPr>
          <w:p>
            <w:pPr>
              <w:adjustRightInd w:val="0"/>
              <w:snapToGrid w:val="0"/>
              <w:jc w:val="left"/>
              <w:rPr>
                <w:rFonts w:ascii="宋体" w:hAnsi="宋体" w:eastAsia="宋体"/>
                <w:szCs w:val="21"/>
              </w:rPr>
            </w:pPr>
            <w:r>
              <w:rPr>
                <w:rFonts w:hint="eastAsia" w:ascii="宋体" w:hAnsi="宋体"/>
                <w:szCs w:val="21"/>
              </w:rPr>
              <w:t>质保期：≥2年</w:t>
            </w:r>
          </w:p>
        </w:tc>
        <w:tc>
          <w:tcPr>
            <w:tcW w:w="1980" w:type="dxa"/>
            <w:tcBorders>
              <w:tl2br w:val="nil"/>
              <w:tr2bl w:val="nil"/>
            </w:tcBorders>
            <w:vAlign w:val="center"/>
          </w:tcPr>
          <w:p>
            <w:pPr>
              <w:adjustRightInd w:val="0"/>
              <w:snapToGrid w:val="0"/>
              <w:jc w:val="left"/>
              <w:rPr>
                <w:rFonts w:hint="eastAsia" w:ascii="宋体" w:hAnsi="宋体"/>
                <w:szCs w:val="21"/>
              </w:rPr>
            </w:pPr>
          </w:p>
        </w:tc>
        <w:tc>
          <w:tcPr>
            <w:tcW w:w="1140" w:type="dxa"/>
            <w:tcBorders>
              <w:tl2br w:val="nil"/>
              <w:tr2bl w:val="nil"/>
            </w:tcBorders>
            <w:vAlign w:val="center"/>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30A06"/>
    <w:rsid w:val="01F423F9"/>
    <w:rsid w:val="020E2058"/>
    <w:rsid w:val="02355837"/>
    <w:rsid w:val="024946D1"/>
    <w:rsid w:val="0250686A"/>
    <w:rsid w:val="02595534"/>
    <w:rsid w:val="02763446"/>
    <w:rsid w:val="028275B1"/>
    <w:rsid w:val="02836B8D"/>
    <w:rsid w:val="02A66735"/>
    <w:rsid w:val="02B7452C"/>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73495D"/>
    <w:rsid w:val="099B5D1F"/>
    <w:rsid w:val="099C614A"/>
    <w:rsid w:val="09A07033"/>
    <w:rsid w:val="09A35E85"/>
    <w:rsid w:val="09A7522A"/>
    <w:rsid w:val="09B36429"/>
    <w:rsid w:val="09B83A16"/>
    <w:rsid w:val="0A132DA4"/>
    <w:rsid w:val="0A187F18"/>
    <w:rsid w:val="0A3641B0"/>
    <w:rsid w:val="0A3769B7"/>
    <w:rsid w:val="0A4977DA"/>
    <w:rsid w:val="0A605CF3"/>
    <w:rsid w:val="0A6564B9"/>
    <w:rsid w:val="0A6B7FB8"/>
    <w:rsid w:val="0AA52BD3"/>
    <w:rsid w:val="0AAC4813"/>
    <w:rsid w:val="0AB417AF"/>
    <w:rsid w:val="0ACB14D5"/>
    <w:rsid w:val="0AFC27B3"/>
    <w:rsid w:val="0B0109E6"/>
    <w:rsid w:val="0B0364E1"/>
    <w:rsid w:val="0B183F4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C02202"/>
    <w:rsid w:val="10C56148"/>
    <w:rsid w:val="10EE14A7"/>
    <w:rsid w:val="10F71714"/>
    <w:rsid w:val="11076A24"/>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B36D47"/>
    <w:rsid w:val="15C36A4E"/>
    <w:rsid w:val="15DC3D8A"/>
    <w:rsid w:val="15E451EB"/>
    <w:rsid w:val="15E47854"/>
    <w:rsid w:val="15EB36FD"/>
    <w:rsid w:val="15F55102"/>
    <w:rsid w:val="15F906E0"/>
    <w:rsid w:val="16057AB2"/>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55AF7"/>
    <w:rsid w:val="17606543"/>
    <w:rsid w:val="1771268E"/>
    <w:rsid w:val="177747C5"/>
    <w:rsid w:val="17795CB2"/>
    <w:rsid w:val="1781794F"/>
    <w:rsid w:val="17B1375A"/>
    <w:rsid w:val="17CE7E68"/>
    <w:rsid w:val="17F9165D"/>
    <w:rsid w:val="17FD5CFB"/>
    <w:rsid w:val="18117CBC"/>
    <w:rsid w:val="181C5AFE"/>
    <w:rsid w:val="18262728"/>
    <w:rsid w:val="18276115"/>
    <w:rsid w:val="182C4401"/>
    <w:rsid w:val="18555ABF"/>
    <w:rsid w:val="185F31B6"/>
    <w:rsid w:val="189B41AF"/>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3A1F70"/>
    <w:rsid w:val="1C4E3A72"/>
    <w:rsid w:val="1C591E3C"/>
    <w:rsid w:val="1C5A6DF2"/>
    <w:rsid w:val="1C8702AB"/>
    <w:rsid w:val="1CAD29F5"/>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6966C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E2F63"/>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922CA0"/>
    <w:rsid w:val="25AD37B3"/>
    <w:rsid w:val="25CD46BA"/>
    <w:rsid w:val="25D12068"/>
    <w:rsid w:val="25D376ED"/>
    <w:rsid w:val="25F72C80"/>
    <w:rsid w:val="261E2FED"/>
    <w:rsid w:val="262D3499"/>
    <w:rsid w:val="2631307A"/>
    <w:rsid w:val="264F0DC8"/>
    <w:rsid w:val="26505959"/>
    <w:rsid w:val="26757836"/>
    <w:rsid w:val="267942C6"/>
    <w:rsid w:val="268169ED"/>
    <w:rsid w:val="26936A6A"/>
    <w:rsid w:val="26AC54AE"/>
    <w:rsid w:val="26AE35E3"/>
    <w:rsid w:val="26CA2142"/>
    <w:rsid w:val="26CC5821"/>
    <w:rsid w:val="26D9686E"/>
    <w:rsid w:val="26E16978"/>
    <w:rsid w:val="26EA132C"/>
    <w:rsid w:val="270A6B81"/>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4564A"/>
    <w:rsid w:val="28FD4C25"/>
    <w:rsid w:val="29121767"/>
    <w:rsid w:val="293529A7"/>
    <w:rsid w:val="294549B1"/>
    <w:rsid w:val="298E4667"/>
    <w:rsid w:val="299921F9"/>
    <w:rsid w:val="299E263B"/>
    <w:rsid w:val="29AC15DA"/>
    <w:rsid w:val="29C849C9"/>
    <w:rsid w:val="29E638F8"/>
    <w:rsid w:val="2A1D6B49"/>
    <w:rsid w:val="2A571212"/>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722A86"/>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A6DFC"/>
    <w:rsid w:val="36533F02"/>
    <w:rsid w:val="36625EF3"/>
    <w:rsid w:val="36655978"/>
    <w:rsid w:val="368558B3"/>
    <w:rsid w:val="36876E6A"/>
    <w:rsid w:val="36980DD0"/>
    <w:rsid w:val="36BD5820"/>
    <w:rsid w:val="36C0156D"/>
    <w:rsid w:val="36CF4BC1"/>
    <w:rsid w:val="36D06F22"/>
    <w:rsid w:val="370C460C"/>
    <w:rsid w:val="37117618"/>
    <w:rsid w:val="371B6C62"/>
    <w:rsid w:val="373B0A3F"/>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497A4F"/>
    <w:rsid w:val="3952271F"/>
    <w:rsid w:val="395A1104"/>
    <w:rsid w:val="39655B7A"/>
    <w:rsid w:val="396D35AB"/>
    <w:rsid w:val="39786167"/>
    <w:rsid w:val="397D063A"/>
    <w:rsid w:val="398F73DC"/>
    <w:rsid w:val="399C65C7"/>
    <w:rsid w:val="39C01BBA"/>
    <w:rsid w:val="39C731AB"/>
    <w:rsid w:val="39FE2850"/>
    <w:rsid w:val="3A085BAA"/>
    <w:rsid w:val="3A185D33"/>
    <w:rsid w:val="3A2C2104"/>
    <w:rsid w:val="3A661D2A"/>
    <w:rsid w:val="3A967177"/>
    <w:rsid w:val="3A9D43B8"/>
    <w:rsid w:val="3AB3450A"/>
    <w:rsid w:val="3AB73885"/>
    <w:rsid w:val="3AD155B7"/>
    <w:rsid w:val="3AD41A3C"/>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126C05"/>
    <w:rsid w:val="3E234CC4"/>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E0861"/>
    <w:rsid w:val="47CC5BBD"/>
    <w:rsid w:val="47DE55F6"/>
    <w:rsid w:val="47ED3CA2"/>
    <w:rsid w:val="4801373A"/>
    <w:rsid w:val="4803315E"/>
    <w:rsid w:val="480A0199"/>
    <w:rsid w:val="481467FD"/>
    <w:rsid w:val="482F079F"/>
    <w:rsid w:val="483010A5"/>
    <w:rsid w:val="48334E31"/>
    <w:rsid w:val="4839790E"/>
    <w:rsid w:val="483C0786"/>
    <w:rsid w:val="48550397"/>
    <w:rsid w:val="4865747A"/>
    <w:rsid w:val="48856AA8"/>
    <w:rsid w:val="488A3975"/>
    <w:rsid w:val="4897562F"/>
    <w:rsid w:val="48C651E6"/>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DC49B4"/>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D527C8"/>
    <w:rsid w:val="4CD74D54"/>
    <w:rsid w:val="4CDC10F5"/>
    <w:rsid w:val="4CE67327"/>
    <w:rsid w:val="4CEB61EE"/>
    <w:rsid w:val="4CEB6BD1"/>
    <w:rsid w:val="4CFF0540"/>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653F46"/>
    <w:rsid w:val="538439FF"/>
    <w:rsid w:val="53900643"/>
    <w:rsid w:val="53914580"/>
    <w:rsid w:val="5392540C"/>
    <w:rsid w:val="53B20924"/>
    <w:rsid w:val="53B3034F"/>
    <w:rsid w:val="53C438F2"/>
    <w:rsid w:val="53CD2711"/>
    <w:rsid w:val="540A11ED"/>
    <w:rsid w:val="543C6045"/>
    <w:rsid w:val="54442A7B"/>
    <w:rsid w:val="54577048"/>
    <w:rsid w:val="545C4EB6"/>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8794E"/>
    <w:rsid w:val="5E0D6B87"/>
    <w:rsid w:val="5E3677AF"/>
    <w:rsid w:val="5E4C0BFA"/>
    <w:rsid w:val="5E85744A"/>
    <w:rsid w:val="5E8B1BDC"/>
    <w:rsid w:val="5E9D79FE"/>
    <w:rsid w:val="5EA4369B"/>
    <w:rsid w:val="5EBB3B43"/>
    <w:rsid w:val="5F0F7B0F"/>
    <w:rsid w:val="5F1D3C82"/>
    <w:rsid w:val="5F341672"/>
    <w:rsid w:val="5FB2630F"/>
    <w:rsid w:val="5FD7533F"/>
    <w:rsid w:val="5FD92ABE"/>
    <w:rsid w:val="5FEB2D87"/>
    <w:rsid w:val="5FF92694"/>
    <w:rsid w:val="60094922"/>
    <w:rsid w:val="600E1AEF"/>
    <w:rsid w:val="60235E44"/>
    <w:rsid w:val="60247FFD"/>
    <w:rsid w:val="60285AB9"/>
    <w:rsid w:val="602F511B"/>
    <w:rsid w:val="604A5077"/>
    <w:rsid w:val="604B1BE5"/>
    <w:rsid w:val="605F2621"/>
    <w:rsid w:val="606648E2"/>
    <w:rsid w:val="606F30CE"/>
    <w:rsid w:val="60A14466"/>
    <w:rsid w:val="60B50C23"/>
    <w:rsid w:val="6107582C"/>
    <w:rsid w:val="612F392E"/>
    <w:rsid w:val="613D0256"/>
    <w:rsid w:val="614C7A15"/>
    <w:rsid w:val="618B4124"/>
    <w:rsid w:val="618D3BCD"/>
    <w:rsid w:val="61AA5A61"/>
    <w:rsid w:val="61C96577"/>
    <w:rsid w:val="61D740F7"/>
    <w:rsid w:val="6208709F"/>
    <w:rsid w:val="6228378C"/>
    <w:rsid w:val="6228683D"/>
    <w:rsid w:val="622D3184"/>
    <w:rsid w:val="62410803"/>
    <w:rsid w:val="625B5CA9"/>
    <w:rsid w:val="62756CE9"/>
    <w:rsid w:val="6294722E"/>
    <w:rsid w:val="62E56056"/>
    <w:rsid w:val="63003347"/>
    <w:rsid w:val="63023C14"/>
    <w:rsid w:val="63193A39"/>
    <w:rsid w:val="63295801"/>
    <w:rsid w:val="63471E49"/>
    <w:rsid w:val="634D713D"/>
    <w:rsid w:val="636D2F3A"/>
    <w:rsid w:val="63771C40"/>
    <w:rsid w:val="63776804"/>
    <w:rsid w:val="638B6757"/>
    <w:rsid w:val="638E4C30"/>
    <w:rsid w:val="639E2905"/>
    <w:rsid w:val="63AD2418"/>
    <w:rsid w:val="63AD76EF"/>
    <w:rsid w:val="63F65FBD"/>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A44E6B"/>
    <w:rsid w:val="6BBD2685"/>
    <w:rsid w:val="6BFC2B36"/>
    <w:rsid w:val="6C0356D1"/>
    <w:rsid w:val="6C0861E5"/>
    <w:rsid w:val="6C7F32C4"/>
    <w:rsid w:val="6C932B17"/>
    <w:rsid w:val="6CD965DD"/>
    <w:rsid w:val="6CE564FB"/>
    <w:rsid w:val="6CF56B79"/>
    <w:rsid w:val="6CFD0CB4"/>
    <w:rsid w:val="6D294292"/>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501AC0"/>
    <w:rsid w:val="6F5959E9"/>
    <w:rsid w:val="6F654AB4"/>
    <w:rsid w:val="6F7264A0"/>
    <w:rsid w:val="6F7715DE"/>
    <w:rsid w:val="6F7D4D72"/>
    <w:rsid w:val="6F7E1F74"/>
    <w:rsid w:val="6F935345"/>
    <w:rsid w:val="6F9B47D1"/>
    <w:rsid w:val="6FB12692"/>
    <w:rsid w:val="6FBF6389"/>
    <w:rsid w:val="6FC753E3"/>
    <w:rsid w:val="6FEB653F"/>
    <w:rsid w:val="700A4635"/>
    <w:rsid w:val="704A4E26"/>
    <w:rsid w:val="705E3594"/>
    <w:rsid w:val="706D47F2"/>
    <w:rsid w:val="70CC3C5C"/>
    <w:rsid w:val="70D13186"/>
    <w:rsid w:val="70DA79DB"/>
    <w:rsid w:val="70E66DDE"/>
    <w:rsid w:val="710708CC"/>
    <w:rsid w:val="710D33C2"/>
    <w:rsid w:val="71201E7A"/>
    <w:rsid w:val="713944E1"/>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7A3300"/>
    <w:rsid w:val="7481099D"/>
    <w:rsid w:val="74856120"/>
    <w:rsid w:val="748A4B39"/>
    <w:rsid w:val="748E118B"/>
    <w:rsid w:val="74B57A32"/>
    <w:rsid w:val="74D64864"/>
    <w:rsid w:val="74E16D8B"/>
    <w:rsid w:val="74E87DC9"/>
    <w:rsid w:val="75151909"/>
    <w:rsid w:val="751B76E8"/>
    <w:rsid w:val="751C632F"/>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A82F32"/>
    <w:rsid w:val="78FC7191"/>
    <w:rsid w:val="79072005"/>
    <w:rsid w:val="790F66E7"/>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8B7927"/>
    <w:rsid w:val="7CAE35FB"/>
    <w:rsid w:val="7CB163F4"/>
    <w:rsid w:val="7CB84091"/>
    <w:rsid w:val="7CC6207B"/>
    <w:rsid w:val="7CD4053F"/>
    <w:rsid w:val="7CE876FE"/>
    <w:rsid w:val="7CE95539"/>
    <w:rsid w:val="7CFD457B"/>
    <w:rsid w:val="7D2240D7"/>
    <w:rsid w:val="7D475241"/>
    <w:rsid w:val="7D650780"/>
    <w:rsid w:val="7D796EE5"/>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19239</Words>
  <Characters>21028</Characters>
  <Lines>166</Lines>
  <Paragraphs>46</Paragraphs>
  <TotalTime>1</TotalTime>
  <ScaleCrop>false</ScaleCrop>
  <LinksUpToDate>false</LinksUpToDate>
  <CharactersWithSpaces>21542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2022-05-11T09:02:42Z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E228C9FAD4514C9FBD60B28EA79ABF59</vt:lpwstr>
  </property>
</Properties>
</file>