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lang w:val="en-US" w:eastAsia="zh-CN"/>
        </w:rPr>
        <w:t>5.20</w:t>
      </w:r>
      <w:r>
        <w:rPr>
          <w:rFonts w:hint="eastAsia" w:ascii="方正粗黑宋简体" w:hAnsi="方正粗黑宋简体" w:eastAsia="方正粗黑宋简体" w:cs="宋体"/>
          <w:b/>
          <w:bCs/>
          <w:color w:val="auto"/>
          <w:sz w:val="44"/>
          <w:szCs w:val="44"/>
          <w:lang w:eastAsia="zh-CN"/>
        </w:rPr>
        <w:t>旋</w:t>
      </w:r>
      <w:r>
        <w:rPr>
          <w:rFonts w:hint="eastAsia" w:ascii="方正粗黑宋简体" w:hAnsi="方正粗黑宋简体" w:eastAsia="方正粗黑宋简体" w:cs="宋体"/>
          <w:b/>
          <w:bCs/>
          <w:color w:val="auto"/>
          <w:sz w:val="44"/>
          <w:szCs w:val="44"/>
          <w:lang w:val="en-US" w:eastAsia="zh-CN"/>
        </w:rPr>
        <w:t>转吊臂清障车</w:t>
      </w:r>
      <w:r>
        <w:rPr>
          <w:rFonts w:hint="eastAsia" w:ascii="方正粗黑宋简体" w:hAnsi="方正粗黑宋简体" w:eastAsia="方正粗黑宋简体" w:cs="宋体"/>
          <w:b/>
          <w:bCs/>
          <w:color w:val="auto"/>
          <w:sz w:val="44"/>
          <w:szCs w:val="44"/>
        </w:rPr>
        <w:t>采购</w:t>
      </w:r>
      <w:r>
        <w:rPr>
          <w:rFonts w:hint="eastAsia" w:ascii="方正粗黑宋简体" w:hAnsi="方正粗黑宋简体" w:eastAsia="方正粗黑宋简体" w:cs="宋体"/>
          <w:b/>
          <w:bCs/>
          <w:color w:val="auto"/>
          <w:sz w:val="44"/>
          <w:szCs w:val="44"/>
          <w:lang w:val="en-US" w:eastAsia="zh-CN"/>
        </w:rPr>
        <w:t>(二次)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eastAsia="黑体" w:cs="Times New Roman"/>
          <w:color w:val="auto"/>
          <w:sz w:val="32"/>
          <w:szCs w:val="32"/>
          <w:u w:val="single"/>
          <w:lang w:val="en-US" w:eastAsia="zh-CN"/>
        </w:rPr>
        <w:t>5</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20</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13871"/>
      <w:bookmarkStart w:id="4" w:name="_Toc24354_WPSOffice_Level2"/>
      <w:bookmarkStart w:id="5" w:name="_Toc525632585"/>
      <w:bookmarkStart w:id="6" w:name="_Toc6496_WPSOffice_Level2"/>
      <w:bookmarkStart w:id="7" w:name="_Toc4489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hint="eastAsia" w:ascii="宋体" w:hAnsi="宋体" w:eastAsia="宋体" w:cs="宋体"/>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2022年度安徽交运集团汽车销售有限公司</w:t>
      </w:r>
      <w:r>
        <w:rPr>
          <w:rFonts w:hint="eastAsia" w:ascii="宋体" w:hAnsi="宋体" w:eastAsia="宋体" w:cs="宋体"/>
          <w:color w:val="auto"/>
          <w:szCs w:val="21"/>
          <w:u w:val="single"/>
          <w:lang w:val="en-US" w:eastAsia="zh-CN"/>
        </w:rPr>
        <w:t>5.20</w:t>
      </w:r>
      <w:r>
        <w:rPr>
          <w:rFonts w:hint="eastAsia" w:ascii="宋体" w:hAnsi="宋体" w:eastAsia="宋体" w:cs="宋体"/>
          <w:color w:val="auto"/>
          <w:szCs w:val="21"/>
          <w:u w:val="single"/>
          <w:lang w:eastAsia="zh-CN"/>
        </w:rPr>
        <w:t>旋</w:t>
      </w:r>
      <w:r>
        <w:rPr>
          <w:rFonts w:hint="eastAsia" w:ascii="宋体" w:hAnsi="宋体" w:eastAsia="宋体" w:cs="宋体"/>
          <w:color w:val="auto"/>
          <w:szCs w:val="21"/>
          <w:u w:val="single"/>
          <w:lang w:val="en-US" w:eastAsia="zh-CN"/>
        </w:rPr>
        <w:t>转吊臂清障车</w:t>
      </w:r>
      <w:r>
        <w:rPr>
          <w:rFonts w:hint="eastAsia" w:ascii="宋体" w:hAnsi="宋体" w:eastAsia="宋体" w:cs="宋体"/>
          <w:color w:val="auto"/>
          <w:szCs w:val="21"/>
          <w:u w:val="single"/>
        </w:rPr>
        <w:t>采购</w:t>
      </w:r>
      <w:r>
        <w:rPr>
          <w:rFonts w:hint="eastAsia" w:ascii="宋体" w:hAnsi="宋体" w:eastAsia="宋体" w:cs="宋体"/>
          <w:color w:val="auto"/>
          <w:szCs w:val="21"/>
          <w:u w:val="single"/>
          <w:lang w:eastAsia="zh-CN"/>
        </w:rPr>
        <w:t>（二次）</w:t>
      </w:r>
    </w:p>
    <w:p>
      <w:pPr>
        <w:snapToGrid w:val="0"/>
        <w:spacing w:line="560" w:lineRule="exact"/>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u w:val="single"/>
        </w:rPr>
        <w:t>安徽交运集团汽车销售有限公司</w:t>
      </w:r>
    </w:p>
    <w:p>
      <w:pPr>
        <w:snapToGrid w:val="0"/>
        <w:spacing w:line="440" w:lineRule="exact"/>
        <w:rPr>
          <w:rFonts w:ascii="Times New Roman" w:hAnsi="Times New Roman" w:cs="Times New Roman"/>
          <w:szCs w:val="22"/>
        </w:rPr>
      </w:pPr>
      <w:bookmarkStart w:id="169" w:name="_GoBack"/>
      <w:bookmarkEnd w:id="169"/>
      <w:r>
        <w:rPr>
          <w:rFonts w:ascii="Times New Roman" w:hAnsi="Times New Roman" w:cs="Times New Roman"/>
          <w:szCs w:val="22"/>
        </w:rPr>
        <w:t>1.3 项目概况：</w:t>
      </w:r>
      <w:r>
        <w:rPr>
          <w:rFonts w:hint="eastAsia" w:ascii="Times New Roman" w:hAnsi="Times New Roman" w:cs="Times New Roman"/>
          <w:szCs w:val="22"/>
          <w:u w:val="single"/>
        </w:rPr>
        <w:t>采购31</w:t>
      </w:r>
      <w:r>
        <w:rPr>
          <w:rFonts w:hint="eastAsia" w:ascii="Times New Roman" w:hAnsi="Times New Roman" w:cs="Times New Roman"/>
          <w:szCs w:val="22"/>
          <w:u w:val="single"/>
          <w:lang w:eastAsia="zh-CN"/>
        </w:rPr>
        <w:t>吨旋</w:t>
      </w:r>
      <w:r>
        <w:rPr>
          <w:rFonts w:hint="eastAsia" w:ascii="Times New Roman" w:hAnsi="Times New Roman" w:cs="Times New Roman"/>
          <w:szCs w:val="22"/>
          <w:u w:val="single"/>
          <w:lang w:val="en-US" w:eastAsia="zh-CN"/>
        </w:rPr>
        <w:t>转吊臂清障车</w:t>
      </w:r>
      <w:r>
        <w:rPr>
          <w:rFonts w:hint="eastAsia" w:ascii="Times New Roman" w:hAnsi="Times New Roman" w:cs="Times New Roman"/>
          <w:szCs w:val="22"/>
          <w:u w:val="single"/>
        </w:rPr>
        <w:t>1台，进一步提升辖段清障救援能力</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8128_WPSOffice_Level2"/>
      <w:bookmarkStart w:id="11" w:name="_Toc525632586"/>
      <w:bookmarkStart w:id="12" w:name="_Toc18367_WPSOffice_Level2"/>
      <w:bookmarkStart w:id="13" w:name="_Toc18453"/>
      <w:bookmarkStart w:id="14" w:name="_Toc1785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szCs w:val="22"/>
          <w:u w:val="single"/>
        </w:rPr>
        <w:t>31</w:t>
      </w:r>
      <w:r>
        <w:rPr>
          <w:rFonts w:hint="eastAsia" w:ascii="Times New Roman" w:hAnsi="Times New Roman" w:cs="Times New Roman"/>
          <w:szCs w:val="22"/>
          <w:u w:val="single"/>
          <w:lang w:eastAsia="zh-CN"/>
        </w:rPr>
        <w:t>吨旋</w:t>
      </w:r>
      <w:r>
        <w:rPr>
          <w:rFonts w:hint="eastAsia" w:ascii="Times New Roman" w:hAnsi="Times New Roman" w:cs="Times New Roman"/>
          <w:szCs w:val="22"/>
          <w:u w:val="single"/>
          <w:lang w:val="en-US" w:eastAsia="zh-CN"/>
        </w:rPr>
        <w:t>转吊臂清障车</w:t>
      </w:r>
      <w:r>
        <w:rPr>
          <w:rFonts w:ascii="Times New Roman" w:hAnsi="Times New Roman" w:cs="Times New Roman"/>
          <w:color w:val="auto"/>
          <w:szCs w:val="22"/>
          <w:u w:val="single"/>
        </w:rPr>
        <w:t>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98</w:t>
      </w:r>
      <w:r>
        <w:rPr>
          <w:rFonts w:hint="eastAsia" w:ascii="Times New Roman" w:hAnsi="Times New Roman" w:cs="Times New Roman"/>
          <w:szCs w:val="22"/>
          <w:u w:val="single"/>
        </w:rPr>
        <w:t>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cs="宋体"/>
          <w:szCs w:val="21"/>
          <w:u w:val="single"/>
        </w:rPr>
        <w:t>。</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22379_WPSOffice_Level2"/>
      <w:bookmarkStart w:id="20" w:name="_Toc525632587"/>
      <w:bookmarkStart w:id="21" w:name="_Toc29516_WPSOffice_Level2"/>
      <w:bookmarkStart w:id="22" w:name="_Toc1622_WPSOffice_Level2"/>
      <w:bookmarkStart w:id="23" w:name="_Toc31673_WPSOffice_Level2"/>
      <w:bookmarkStart w:id="24" w:name="_Toc6388"/>
      <w:bookmarkStart w:id="25" w:name="_Toc3714"/>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车辆购置税，销售差价（签订的厂家合同价为中标价--销售差价）检测、排污、照相、上牌等所有</w:t>
      </w:r>
      <w:r>
        <w:rPr>
          <w:rFonts w:hint="eastAsia"/>
          <w:sz w:val="24"/>
          <w:highlight w:val="green"/>
          <w:lang w:eastAsia="zh-CN"/>
        </w:rPr>
        <w:t>相关</w:t>
      </w:r>
      <w:r>
        <w:rPr>
          <w:rFonts w:hint="eastAsia"/>
          <w:sz w:val="24"/>
          <w:highlight w:val="green"/>
        </w:rPr>
        <w:t>费用，商业保险（含交强险、车损险（≥车价）、第三者责任险(</w:t>
      </w:r>
      <w:r>
        <w:rPr>
          <w:rFonts w:hint="eastAsia"/>
          <w:sz w:val="24"/>
          <w:highlight w:val="green"/>
          <w:lang w:val="en-US" w:eastAsia="zh-CN"/>
        </w:rPr>
        <w:t>150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5</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color w:val="auto"/>
          <w:szCs w:val="22"/>
          <w:highlight w:val="green"/>
          <w:lang w:eastAsia="zh-CN"/>
        </w:rPr>
        <w:t>高速系统</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525632588"/>
      <w:bookmarkStart w:id="28" w:name="_Toc2996_WPSOffice_Level2"/>
      <w:bookmarkStart w:id="29" w:name="_Toc4109_WPSOffice_Level2"/>
      <w:bookmarkStart w:id="30" w:name="_Toc29452_WPSOffice_Level2"/>
      <w:bookmarkStart w:id="31" w:name="_Toc4751"/>
      <w:bookmarkStart w:id="32" w:name="_Toc1994"/>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5</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27</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rPr>
          <w:rFonts w:ascii="Times New Roman" w:hAnsi="Times New Roman" w:cs="Times New Roman" w:eastAsiaTheme="minorEastAsia"/>
          <w:color w:val="auto"/>
          <w:kern w:val="2"/>
          <w:sz w:val="21"/>
          <w:szCs w:val="22"/>
          <w:highlight w:val="green"/>
          <w:lang w:val="en-US" w:eastAsia="zh-CN" w:bidi="ar-SA"/>
        </w:rPr>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5</w:t>
      </w:r>
      <w:r>
        <w:rPr>
          <w:rFonts w:hint="eastAsia" w:ascii="Times New Roman" w:hAnsi="Times New Roman"/>
          <w:color w:val="auto"/>
        </w:rPr>
        <w:t>月</w:t>
      </w:r>
      <w:r>
        <w:rPr>
          <w:rFonts w:hint="eastAsia" w:ascii="Times New Roman" w:hAnsi="Times New Roman"/>
          <w:color w:val="auto"/>
          <w:lang w:val="en-US" w:eastAsia="zh-CN"/>
        </w:rPr>
        <w:t>26</w:t>
      </w:r>
      <w:r>
        <w:rPr>
          <w:rFonts w:hint="eastAsia" w:ascii="Times New Roman" w:hAnsi="Times New Roman"/>
          <w:color w:val="auto"/>
        </w:rPr>
        <w:t>日1</w:t>
      </w:r>
      <w:r>
        <w:rPr>
          <w:rFonts w:hint="eastAsia" w:ascii="Times New Roman" w:hAnsi="Times New Roman"/>
          <w:color w:val="auto"/>
          <w:lang w:val="en-US" w:eastAsia="zh-CN"/>
        </w:rPr>
        <w:t>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525632592"/>
      <w:bookmarkStart w:id="38" w:name="_Toc14943_WPSOffice_Level2"/>
      <w:bookmarkStart w:id="39" w:name="_Toc28571_WPSOffice_Level2"/>
      <w:bookmarkStart w:id="40" w:name="_Toc321_WPSOffice_Level2"/>
      <w:bookmarkStart w:id="41" w:name="_Toc8501"/>
      <w:bookmarkStart w:id="42" w:name="_Toc26829"/>
      <w:bookmarkStart w:id="43" w:name="_Toc20572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5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20</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pStyle w:val="2"/>
      </w:pP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2665697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76"/>
        <w:gridCol w:w="699"/>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976"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699"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4"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976"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699"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主车品牌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分；国内知名品牌得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ascii="宋体" w:hAnsi="宋体" w:cs="宋体"/>
                <w:kern w:val="1"/>
                <w:szCs w:val="21"/>
                <w:shd w:val="clear" w:color="auto" w:fill="FFFFFF"/>
              </w:rPr>
              <w:t>1、任何一项带“</w:t>
            </w:r>
            <w:r>
              <w:rPr>
                <w:rFonts w:hint="eastAsia" w:ascii="宋体" w:hAnsi="宋体" w:cs="宋体"/>
                <w:szCs w:val="21"/>
              </w:rPr>
              <w:t>★</w:t>
            </w:r>
            <w:r>
              <w:rPr>
                <w:rFonts w:hint="eastAsia" w:ascii="宋体" w:hAnsi="宋体" w:cs="宋体"/>
                <w:kern w:val="1"/>
                <w:szCs w:val="21"/>
                <w:shd w:val="clear" w:color="auto" w:fill="FFFFFF"/>
              </w:rPr>
              <w:t>”号</w:t>
            </w:r>
            <w:r>
              <w:rPr>
                <w:rFonts w:hint="eastAsia" w:ascii="宋体" w:hAnsi="宋体" w:cs="宋体"/>
                <w:kern w:val="1"/>
                <w:szCs w:val="21"/>
                <w:shd w:val="clear" w:color="auto" w:fill="FFFFFF"/>
                <w:lang w:eastAsia="zh-CN"/>
              </w:rPr>
              <w:t>为主要</w:t>
            </w:r>
            <w:r>
              <w:rPr>
                <w:rFonts w:hint="eastAsia" w:ascii="宋体" w:hAnsi="宋体" w:cs="宋体"/>
                <w:kern w:val="1"/>
                <w:szCs w:val="21"/>
                <w:shd w:val="clear" w:color="auto" w:fill="FFFFFF"/>
              </w:rPr>
              <w:t>技术指标、参数或性能描述没有实质性响应招标文件的要求</w:t>
            </w:r>
            <w:r>
              <w:rPr>
                <w:rFonts w:ascii="宋体" w:hAnsi="宋体" w:cs="宋体"/>
                <w:kern w:val="1"/>
                <w:szCs w:val="21"/>
                <w:shd w:val="clear" w:color="auto" w:fill="FFFFFF"/>
              </w:rPr>
              <w:t>,技术部分得0分。</w:t>
            </w:r>
          </w:p>
          <w:p>
            <w:pPr>
              <w:kinsoku w:val="0"/>
              <w:autoSpaceDE w:val="0"/>
              <w:autoSpaceDN w:val="0"/>
              <w:adjustRightInd w:val="0"/>
              <w:spacing w:before="156" w:beforeLines="50" w:line="332" w:lineRule="exact"/>
              <w:rPr>
                <w:rFonts w:ascii="Times New Roman" w:hAnsi="Times New Roman" w:cs="Times New Roman"/>
                <w:szCs w:val="21"/>
              </w:rPr>
            </w:pPr>
            <w:r>
              <w:rPr>
                <w:rFonts w:ascii="宋体" w:hAnsi="宋体" w:cs="宋体"/>
                <w:kern w:val="1"/>
                <w:szCs w:val="21"/>
                <w:shd w:val="clear" w:color="auto" w:fill="FFFFFF"/>
              </w:rPr>
              <w:t>2、</w:t>
            </w:r>
            <w:r>
              <w:rPr>
                <w:rFonts w:hint="eastAsia"/>
                <w:szCs w:val="21"/>
              </w:rPr>
              <w:t>报价文件中提供主要技术参数均满足询价文件要求的，得基本分</w:t>
            </w:r>
            <w:r>
              <w:rPr>
                <w:rFonts w:hint="eastAsia"/>
                <w:szCs w:val="21"/>
                <w:lang w:val="en-US" w:eastAsia="zh-CN"/>
              </w:rPr>
              <w:t>12</w:t>
            </w:r>
            <w:r>
              <w:rPr>
                <w:rFonts w:hint="eastAsia"/>
                <w:szCs w:val="21"/>
              </w:rPr>
              <w:t>分；在此基础上：主要技术参数优于询价文件要求的，每有一项加</w:t>
            </w:r>
            <w:r>
              <w:rPr>
                <w:szCs w:val="21"/>
              </w:rPr>
              <w:t>1</w:t>
            </w:r>
            <w:r>
              <w:rPr>
                <w:rFonts w:hint="eastAsia"/>
                <w:szCs w:val="21"/>
              </w:rPr>
              <w:t>分，本项最多加</w:t>
            </w:r>
            <w:r>
              <w:rPr>
                <w:rFonts w:hint="eastAsia"/>
                <w:szCs w:val="21"/>
                <w:lang w:val="en-US" w:eastAsia="zh-CN"/>
              </w:rPr>
              <w:t>8</w:t>
            </w:r>
            <w:r>
              <w:rPr>
                <w:rFonts w:hint="eastAsia"/>
                <w:szCs w:val="21"/>
              </w:rPr>
              <w:t>分，本项满分20分。主要技术参数低于询价文件要求的，每项扣</w:t>
            </w:r>
            <w:r>
              <w:rPr>
                <w:rFonts w:hint="eastAsia"/>
                <w:szCs w:val="21"/>
                <w:lang w:val="en-US" w:eastAsia="zh-CN"/>
              </w:rPr>
              <w:t>3</w:t>
            </w:r>
            <w:r>
              <w:rPr>
                <w:rFonts w:hint="eastAsia"/>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spacing w:before="156" w:beforeLines="50" w:line="0" w:lineRule="atLeast"/>
              <w:rPr>
                <w:rFonts w:ascii="宋体" w:hAnsi="宋体"/>
                <w:color w:val="auto"/>
                <w:szCs w:val="21"/>
              </w:rPr>
            </w:pPr>
            <w:r>
              <w:rPr>
                <w:rFonts w:hint="eastAsia" w:ascii="宋体" w:hAnsi="宋体"/>
                <w:color w:val="auto"/>
                <w:szCs w:val="21"/>
              </w:rPr>
              <w:t>投标人提供的业绩满足询文件资格要求的，得基本分</w:t>
            </w:r>
            <w:r>
              <w:rPr>
                <w:rFonts w:hint="eastAsia" w:ascii="宋体" w:hAnsi="宋体"/>
                <w:color w:val="auto"/>
                <w:szCs w:val="21"/>
                <w:lang w:val="en-US" w:eastAsia="zh-CN"/>
              </w:rPr>
              <w:t>3</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r>
              <w:rPr>
                <w:rFonts w:ascii="宋体" w:hAnsi="宋体"/>
                <w:szCs w:val="21"/>
              </w:rPr>
              <w:t>投标人或所投设备制造商</w:t>
            </w:r>
            <w:r>
              <w:rPr>
                <w:rFonts w:hint="eastAsia" w:ascii="宋体" w:hAnsi="宋体"/>
                <w:szCs w:val="21"/>
              </w:rPr>
              <w:t>提供的</w:t>
            </w:r>
            <w:r>
              <w:rPr>
                <w:rFonts w:hint="eastAsia" w:ascii="宋体" w:hAnsi="宋体" w:cs="宋体"/>
              </w:rPr>
              <w:t>近三年（</w:t>
            </w:r>
            <w:r>
              <w:rPr>
                <w:rFonts w:ascii="宋体" w:hAnsi="宋体" w:cs="宋体"/>
              </w:rPr>
              <w:t>201</w:t>
            </w:r>
            <w:r>
              <w:rPr>
                <w:rFonts w:hint="eastAsia" w:ascii="宋体" w:hAnsi="宋体" w:cs="宋体"/>
              </w:rPr>
              <w:t>9</w:t>
            </w:r>
            <w:r>
              <w:rPr>
                <w:rFonts w:ascii="宋体" w:hAnsi="宋体" w:cs="宋体"/>
              </w:rPr>
              <w:t>年</w:t>
            </w:r>
            <w:r>
              <w:rPr>
                <w:rFonts w:hint="eastAsia" w:ascii="宋体" w:hAnsi="宋体" w:cs="宋体"/>
                <w:lang w:val="en-US" w:eastAsia="zh-CN"/>
              </w:rPr>
              <w:t>5</w:t>
            </w:r>
            <w:r>
              <w:rPr>
                <w:rFonts w:ascii="宋体" w:hAnsi="宋体" w:cs="宋体"/>
              </w:rPr>
              <w:t>月1日至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lang w:eastAsia="zh-CN"/>
              </w:rPr>
              <w:t>全国高速系统内每增加</w:t>
            </w:r>
            <w:r>
              <w:rPr>
                <w:rFonts w:hint="eastAsia" w:ascii="宋体" w:hAnsi="宋体"/>
                <w:color w:val="auto"/>
                <w:szCs w:val="21"/>
                <w:lang w:val="en-US" w:eastAsia="zh-CN"/>
              </w:rPr>
              <w:t>3</w:t>
            </w:r>
            <w:r>
              <w:rPr>
                <w:rFonts w:hint="eastAsia" w:ascii="宋体" w:hAnsi="宋体"/>
                <w:color w:val="auto"/>
                <w:szCs w:val="21"/>
              </w:rPr>
              <w:t>台加</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，本项满分</w:t>
            </w:r>
            <w:r>
              <w:rPr>
                <w:rFonts w:hint="eastAsia" w:ascii="宋体" w:hAnsi="宋体"/>
                <w:color w:val="auto"/>
                <w:szCs w:val="21"/>
                <w:lang w:val="en-US" w:eastAsia="zh-CN"/>
              </w:rPr>
              <w:t>5分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numPr>
                <w:ilvl w:val="0"/>
                <w:numId w:val="3"/>
              </w:numPr>
              <w:adjustRightInd w:val="0"/>
              <w:snapToGrid w:val="0"/>
              <w:spacing w:line="276" w:lineRule="auto"/>
              <w:rPr>
                <w:rFonts w:hint="eastAsia"/>
                <w:lang w:val="en-US" w:eastAsia="zh-CN"/>
              </w:rPr>
            </w:pPr>
            <w:r>
              <w:rPr>
                <w:rFonts w:hint="eastAsia"/>
              </w:rPr>
              <w:t>所投标设备的制造企业具备质量、环境、职业健康安全管理体系</w:t>
            </w:r>
            <w:r>
              <w:rPr>
                <w:rFonts w:hint="eastAsia"/>
                <w:lang w:val="en-US" w:eastAsia="zh-CN"/>
              </w:rPr>
              <w:t>的</w:t>
            </w:r>
            <w:r>
              <w:rPr>
                <w:rFonts w:hint="eastAsia"/>
              </w:rPr>
              <w:t>加</w:t>
            </w:r>
            <w:r>
              <w:rPr>
                <w:rFonts w:hint="eastAsia"/>
                <w:lang w:val="en-US" w:eastAsia="zh-CN"/>
              </w:rPr>
              <w:t>1</w:t>
            </w:r>
            <w:r>
              <w:rPr>
                <w:rFonts w:hint="eastAsia"/>
              </w:rPr>
              <w:t>分，本项最高得</w:t>
            </w:r>
            <w:r>
              <w:rPr>
                <w:rFonts w:hint="eastAsia"/>
                <w:lang w:val="en-US" w:eastAsia="zh-CN"/>
              </w:rPr>
              <w:t>1</w:t>
            </w:r>
            <w:r>
              <w:rPr>
                <w:rFonts w:hint="eastAsia"/>
              </w:rPr>
              <w:t>分</w:t>
            </w:r>
            <w:r>
              <w:rPr>
                <w:rFonts w:hint="eastAsia"/>
                <w:lang w:val="en-US" w:eastAsia="zh-CN"/>
              </w:rPr>
              <w:t xml:space="preserve">.  </w:t>
            </w:r>
          </w:p>
          <w:p>
            <w:pPr>
              <w:pStyle w:val="2"/>
              <w:numPr>
                <w:ilvl w:val="0"/>
                <w:numId w:val="3"/>
              </w:numPr>
              <w:rPr>
                <w:rFonts w:hint="eastAsia"/>
                <w:lang w:val="en-US" w:eastAsia="zh-CN"/>
              </w:rPr>
            </w:pP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国家科技进步奖 2分；省级科技进步奖得1分；本项最高得2分。</w:t>
            </w:r>
          </w:p>
          <w:p>
            <w:pPr>
              <w:keepNext w:val="0"/>
              <w:keepLines w:val="0"/>
              <w:widowControl/>
              <w:numPr>
                <w:ilvl w:val="0"/>
                <w:numId w:val="0"/>
              </w:numPr>
              <w:suppressLineNumbers w:val="0"/>
              <w:ind w:leftChars="0"/>
              <w:jc w:val="left"/>
              <w:rPr>
                <w:rFonts w:hint="eastAsia"/>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国家质量奖 2分；省级质量奖得1分；</w:t>
            </w:r>
            <w:r>
              <w:rPr>
                <w:rFonts w:hint="eastAsia" w:ascii="Times New Roman" w:hAnsi="Times New Roman" w:eastAsia="宋体" w:cs="Times New Roman"/>
                <w:szCs w:val="21"/>
              </w:rPr>
              <w:t>本项最高得</w:t>
            </w: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分</w:t>
            </w:r>
            <w:r>
              <w:rPr>
                <w:rFonts w:hint="eastAsia" w:ascii="Times New Roman" w:hAnsi="Times New Roman" w:eastAsia="宋体" w:cs="Times New Roman"/>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,最高加3分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976"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699"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42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《31</w:t>
      </w:r>
      <w:r>
        <w:rPr>
          <w:rFonts w:hint="eastAsia" w:ascii="宋体" w:hAnsi="宋体" w:eastAsia="宋体" w:cs="宋体"/>
          <w:b/>
          <w:bCs/>
          <w:color w:val="auto"/>
          <w:sz w:val="28"/>
          <w:highlight w:val="none"/>
          <w:lang w:eastAsia="zh-CN"/>
        </w:rPr>
        <w:t>吨旋</w:t>
      </w:r>
      <w:r>
        <w:rPr>
          <w:rFonts w:hint="eastAsia" w:ascii="宋体" w:hAnsi="宋体" w:eastAsia="宋体" w:cs="宋体"/>
          <w:b/>
          <w:bCs/>
          <w:color w:val="auto"/>
          <w:sz w:val="28"/>
          <w:highlight w:val="none"/>
          <w:lang w:val="en-US" w:eastAsia="zh-CN"/>
        </w:rPr>
        <w:t>转吊臂清障车</w:t>
      </w:r>
      <w:r>
        <w:rPr>
          <w:rFonts w:hint="eastAsia" w:ascii="宋体" w:hAnsi="宋体" w:eastAsia="宋体" w:cs="宋体"/>
          <w:b/>
          <w:bCs/>
          <w:color w:val="auto"/>
          <w:sz w:val="28"/>
          <w:highlight w:val="none"/>
        </w:rPr>
        <w:t>设备选型、技术指标一览表》</w:t>
      </w:r>
    </w:p>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2579"/>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72"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序号</w:t>
            </w:r>
          </w:p>
        </w:tc>
        <w:tc>
          <w:tcPr>
            <w:tcW w:w="2579"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项目</w:t>
            </w:r>
          </w:p>
        </w:tc>
        <w:tc>
          <w:tcPr>
            <w:tcW w:w="5335"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bCs/>
                <w:color w:val="auto"/>
                <w:kern w:val="0"/>
                <w:sz w:val="21"/>
                <w:szCs w:val="21"/>
                <w:highlight w:val="none"/>
              </w:rPr>
              <w:t>买方技术参数要求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供货范围</w:t>
            </w:r>
          </w:p>
        </w:tc>
        <w:tc>
          <w:tcPr>
            <w:tcW w:w="533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主车、专用工具、运输和保险及验收、相关技术服务、上牌、交相关税费、上保险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r>
              <w:rPr>
                <w:rFonts w:hint="eastAsia" w:ascii="宋体" w:hAnsi="宋体" w:eastAsia="宋体" w:cs="宋体"/>
                <w:color w:val="auto"/>
                <w:sz w:val="21"/>
                <w:szCs w:val="21"/>
                <w:highlight w:val="none"/>
                <w:lang w:val="en-US" w:eastAsia="zh-CN"/>
              </w:rPr>
              <w:t>295</w:t>
            </w:r>
            <w:r>
              <w:rPr>
                <w:rFonts w:hint="eastAsia" w:ascii="宋体" w:hAnsi="宋体" w:eastAsia="宋体" w:cs="宋体"/>
                <w:color w:val="auto"/>
                <w:sz w:val="21"/>
                <w:szCs w:val="21"/>
                <w:highlight w:val="none"/>
              </w:rPr>
              <w:t>，排放标准国</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驱动形式为≥8×4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最高车速</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（KM/h)≥</w:t>
            </w:r>
            <w:r>
              <w:rPr>
                <w:rFonts w:hint="eastAsia" w:ascii="宋体" w:hAnsi="宋体" w:eastAsia="宋体" w:cs="宋体"/>
                <w:color w:val="auto"/>
                <w:sz w:val="21"/>
                <w:szCs w:val="21"/>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*轴距（mm）</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00+45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w:t>
            </w:r>
            <w:r>
              <w:rPr>
                <w:rFonts w:hint="eastAsia" w:ascii="宋体" w:hAnsi="宋体" w:eastAsia="宋体" w:cs="宋体"/>
                <w:color w:val="auto"/>
                <w:sz w:val="21"/>
                <w:szCs w:val="21"/>
                <w:highlight w:val="none"/>
                <w:lang w:val="en-US" w:eastAsia="zh-CN"/>
              </w:rPr>
              <w:t>及备胎</w:t>
            </w:r>
            <w:r>
              <w:rPr>
                <w:rFonts w:hint="eastAsia" w:ascii="宋体" w:hAnsi="宋体" w:eastAsia="宋体" w:cs="宋体"/>
                <w:color w:val="auto"/>
                <w:sz w:val="21"/>
                <w:szCs w:val="21"/>
                <w:highlight w:val="none"/>
              </w:rPr>
              <w:t>规格</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全钢丝子午线12.00R20或更优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外廓尺寸</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长×宽×高（mm）：≥1</w:t>
            </w:r>
            <w:r>
              <w:rPr>
                <w:rFonts w:hint="eastAsia" w:ascii="宋体" w:hAnsi="宋体" w:eastAsia="宋体" w:cs="宋体"/>
                <w:color w:val="auto"/>
                <w:sz w:val="21"/>
                <w:szCs w:val="21"/>
                <w:highlight w:val="none"/>
                <w:lang w:val="en-US" w:eastAsia="zh-CN"/>
              </w:rPr>
              <w:t>0890</w:t>
            </w:r>
            <w:r>
              <w:rPr>
                <w:rFonts w:hint="eastAsia" w:ascii="宋体" w:hAnsi="宋体" w:eastAsia="宋体" w:cs="宋体"/>
                <w:color w:val="auto"/>
                <w:sz w:val="21"/>
                <w:szCs w:val="21"/>
                <w:highlight w:val="none"/>
              </w:rPr>
              <w:t>×2500×3400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上装形式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旋转吊臂</w:t>
            </w:r>
            <w:r>
              <w:rPr>
                <w:rFonts w:hint="eastAsia" w:ascii="宋体" w:hAnsi="宋体" w:eastAsia="宋体" w:cs="宋体"/>
                <w:color w:val="auto"/>
                <w:sz w:val="21"/>
                <w:szCs w:val="21"/>
                <w:highlight w:val="none"/>
              </w:rPr>
              <w:t>（上装系统吨位加大）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*最大托牵质量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*最大托举质量</w:t>
            </w:r>
            <w:r>
              <w:rPr>
                <w:rFonts w:hint="eastAsia" w:ascii="宋体" w:hAnsi="宋体" w:eastAsia="宋体" w:cs="宋体"/>
                <w:color w:val="auto"/>
                <w:kern w:val="2"/>
                <w:sz w:val="21"/>
                <w:szCs w:val="21"/>
                <w:highlight w:val="none"/>
              </w:rPr>
              <w:t>（上装/整车）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16000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val="en-US" w:eastAsia="zh-CN"/>
              </w:rPr>
              <w:t>/10900kg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托臂最大有效长度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托臂全伸出最大托举质量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全伸出托叉口离地最大距离</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托臂带载</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*最大起重质量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*吊臂节数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吊臂基本长度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油缸</w:t>
            </w:r>
            <w:r>
              <w:rPr>
                <w:rFonts w:hint="eastAsia" w:ascii="宋体" w:hAnsi="宋体" w:eastAsia="宋体" w:cs="宋体"/>
                <w:color w:val="auto"/>
                <w:kern w:val="2"/>
                <w:sz w:val="21"/>
                <w:szCs w:val="21"/>
                <w:highlight w:val="none"/>
              </w:rPr>
              <w:t>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5000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旋转角度</w:t>
            </w:r>
          </w:p>
        </w:tc>
        <w:tc>
          <w:tcPr>
            <w:tcW w:w="5335"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360°连续回转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绞盘数量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钢丝绳长度</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钢丝绳直径</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钢丝绳最小线速度（m/min）</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卷扬机额定牵引力</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0×2KN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最大起吊高度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最大作业半径</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数量（个）</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支腿</w:t>
            </w:r>
            <w:r>
              <w:rPr>
                <w:rFonts w:hint="eastAsia" w:ascii="宋体" w:hAnsi="宋体" w:eastAsia="宋体" w:cs="宋体"/>
                <w:color w:val="auto"/>
                <w:sz w:val="21"/>
                <w:szCs w:val="21"/>
                <w:highlight w:val="none"/>
                <w:lang w:val="en-US" w:eastAsia="zh-CN"/>
              </w:rPr>
              <w:t>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后支腿横向跨距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前、后支腿纵向跨距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7300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0"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2579" w:type="dxa"/>
            <w:noWrap w:val="0"/>
            <w:vAlign w:val="center"/>
          </w:tcPr>
          <w:p>
            <w:pPr>
              <w:autoSpaceDE w:val="0"/>
              <w:autoSpaceDN w:val="0"/>
              <w:adjustRightInd w:val="0"/>
              <w:ind w:right="-815" w:rightChars="-388"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1.配全套保养、维修专用工具，该项费用计入总报价中，具体为：（1）液压系统无线控制器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（2）加高托叉座一对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（3）拖叉座一对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（4）拖叉（大小）四对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（5）拖叉（拖弹簧钢板用）一对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（6）链钩总成二条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（7）辅助灯总成一套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（8）辅助制动气管(15m)一套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（9）索具（两端带羊角抓钩）</w:t>
            </w:r>
            <w:r>
              <w:rPr>
                <w:rFonts w:hint="eastAsia" w:ascii="宋体" w:hAnsi="宋体" w:eastAsia="宋体" w:cs="宋体"/>
                <w:color w:val="auto"/>
                <w:sz w:val="21"/>
                <w:szCs w:val="21"/>
                <w:highlight w:val="none"/>
                <w:lang w:val="en-US" w:eastAsia="zh-CN"/>
              </w:rPr>
              <w:t>二件；（10）</w:t>
            </w:r>
            <w:r>
              <w:rPr>
                <w:rFonts w:hint="eastAsia" w:ascii="宋体" w:hAnsi="宋体" w:eastAsia="宋体" w:cs="宋体"/>
                <w:color w:val="auto"/>
                <w:sz w:val="21"/>
                <w:szCs w:val="21"/>
                <w:highlight w:val="none"/>
              </w:rPr>
              <w:t>销轴</w:t>
            </w:r>
            <w:r>
              <w:rPr>
                <w:rFonts w:hint="eastAsia" w:ascii="宋体" w:hAnsi="宋体" w:eastAsia="宋体" w:cs="宋体"/>
                <w:color w:val="auto"/>
                <w:sz w:val="21"/>
                <w:szCs w:val="21"/>
                <w:highlight w:val="none"/>
                <w:lang w:val="en-US" w:eastAsia="zh-CN"/>
              </w:rPr>
              <w:t>四件；（11）</w:t>
            </w:r>
            <w:r>
              <w:rPr>
                <w:rFonts w:hint="eastAsia" w:ascii="宋体" w:hAnsi="宋体" w:eastAsia="宋体" w:cs="宋体"/>
                <w:color w:val="auto"/>
                <w:sz w:val="21"/>
                <w:szCs w:val="21"/>
                <w:highlight w:val="none"/>
              </w:rPr>
              <w:t>弹簧卡子</w:t>
            </w:r>
            <w:r>
              <w:rPr>
                <w:rFonts w:hint="eastAsia" w:ascii="宋体" w:hAnsi="宋体" w:eastAsia="宋体" w:cs="宋体"/>
                <w:color w:val="auto"/>
                <w:sz w:val="21"/>
                <w:szCs w:val="21"/>
                <w:highlight w:val="none"/>
                <w:lang w:val="en-US" w:eastAsia="zh-CN"/>
              </w:rPr>
              <w:t>四件；</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）不锈钢洗手水箱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）倒车后视屏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）硬拖机构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）发动机怠速装置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）大巴车抱胎机构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）尿素60升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）刹车轮毂冷却装置（刹车喷淋装置）。</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身颜色为工程黄色，车身采用整体式、全钢、防锈、抗扭、加固车身；须安装晚间工作时的前后双向灯和车顶LED红黄蓝三色警报灯，警报器功率不低于120瓦；驾驶室内应有收音机等设备，带冷暖空调，座位：≥2；带助力转向装置等。</w:t>
            </w:r>
          </w:p>
        </w:tc>
      </w:tr>
    </w:tbl>
    <w:p>
      <w:pPr>
        <w:pStyle w:val="2"/>
        <w:rPr>
          <w:rFonts w:ascii="Times New Roman" w:hAnsi="Times New Roman" w:cs="Times New Roman"/>
          <w:szCs w:val="21"/>
        </w:rPr>
      </w:pPr>
    </w:p>
    <w:p>
      <w:pPr>
        <w:pStyle w:val="2"/>
        <w:rPr>
          <w:rFonts w:ascii="Times New Roman" w:hAnsi="Times New Roman" w:cs="Times New Roman"/>
          <w:szCs w:val="21"/>
        </w:rPr>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3125"/>
      <w:bookmarkStart w:id="80" w:name="_Toc27869"/>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5"/>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4"/>
              </w:rPr>
            </w:pPr>
            <w:r>
              <w:rPr>
                <w:rFonts w:hint="eastAsia" w:ascii="宋体" w:hAnsi="宋体" w:eastAsia="宋体" w:cs="宋体"/>
                <w:bCs/>
                <w:kern w:val="2"/>
                <w:sz w:val="24"/>
                <w:szCs w:val="24"/>
                <w:lang w:val="en-US" w:eastAsia="zh-CN" w:bidi="ar-SA"/>
              </w:rPr>
              <w:t>31吨旋转吊臂清障车</w:t>
            </w: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509" w:type="dxa"/>
            <w:vAlign w:val="center"/>
          </w:tcPr>
          <w:p>
            <w:pPr>
              <w:widowControl/>
              <w:jc w:val="center"/>
              <w:textAlignment w:val="center"/>
              <w:rPr>
                <w:rFonts w:ascii="宋体" w:hAnsi="宋体" w:eastAsia="宋体" w:cs="宋体"/>
                <w:sz w:val="24"/>
              </w:rPr>
            </w:pP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540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6"/>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6"/>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bl>
    <w:p>
      <w:pPr>
        <w:pStyle w:val="2"/>
        <w:jc w:val="center"/>
        <w:rPr>
          <w:rFonts w:ascii="黑体" w:hAnsi="黑体" w:eastAsia="黑体" w:cs="黑体"/>
          <w:sz w:val="28"/>
          <w:szCs w:val="28"/>
        </w:rPr>
      </w:pPr>
    </w:p>
    <w:p>
      <w:pPr>
        <w:pStyle w:val="37"/>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2"/>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79963FF"/>
    <w:multiLevelType w:val="singleLevel"/>
    <w:tmpl w:val="A79963FF"/>
    <w:lvl w:ilvl="0" w:tentative="0">
      <w:start w:val="1"/>
      <w:numFmt w:val="decimal"/>
      <w:suff w:val="nothing"/>
      <w:lvlText w:val="%1、"/>
      <w:lvlJc w:val="left"/>
    </w:lvl>
  </w:abstractNum>
  <w:abstractNum w:abstractNumId="3">
    <w:nsid w:val="AE2607CB"/>
    <w:multiLevelType w:val="singleLevel"/>
    <w:tmpl w:val="AE2607CB"/>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56AB4"/>
    <w:rsid w:val="0637658C"/>
    <w:rsid w:val="06420BE5"/>
    <w:rsid w:val="064F44F5"/>
    <w:rsid w:val="06750697"/>
    <w:rsid w:val="067B57E2"/>
    <w:rsid w:val="069B3C00"/>
    <w:rsid w:val="06CA1760"/>
    <w:rsid w:val="06ED25DE"/>
    <w:rsid w:val="06F57E5E"/>
    <w:rsid w:val="06FA2BAB"/>
    <w:rsid w:val="07085527"/>
    <w:rsid w:val="073A3426"/>
    <w:rsid w:val="0757367C"/>
    <w:rsid w:val="07595CAC"/>
    <w:rsid w:val="076F25A8"/>
    <w:rsid w:val="077508BA"/>
    <w:rsid w:val="079543F1"/>
    <w:rsid w:val="07A10C59"/>
    <w:rsid w:val="07A45C35"/>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854A24"/>
    <w:rsid w:val="0C871385"/>
    <w:rsid w:val="0C932008"/>
    <w:rsid w:val="0C954935"/>
    <w:rsid w:val="0C9E6EE9"/>
    <w:rsid w:val="0CEE2538"/>
    <w:rsid w:val="0CFF356B"/>
    <w:rsid w:val="0D1C692C"/>
    <w:rsid w:val="0D1F7FB3"/>
    <w:rsid w:val="0D235F12"/>
    <w:rsid w:val="0D371527"/>
    <w:rsid w:val="0D421699"/>
    <w:rsid w:val="0D491784"/>
    <w:rsid w:val="0D903958"/>
    <w:rsid w:val="0DA10224"/>
    <w:rsid w:val="0DBC5FD9"/>
    <w:rsid w:val="0DBF7526"/>
    <w:rsid w:val="0DD8176C"/>
    <w:rsid w:val="0DE17D3B"/>
    <w:rsid w:val="0DE55C13"/>
    <w:rsid w:val="0DEA2CBC"/>
    <w:rsid w:val="0DFF4F4B"/>
    <w:rsid w:val="0E353D12"/>
    <w:rsid w:val="0E3766AA"/>
    <w:rsid w:val="0E3C6E1E"/>
    <w:rsid w:val="0E421045"/>
    <w:rsid w:val="0E5617C7"/>
    <w:rsid w:val="0E5B2709"/>
    <w:rsid w:val="0E617FB2"/>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CC7A5D"/>
    <w:rsid w:val="0FDB62B2"/>
    <w:rsid w:val="0FE0087A"/>
    <w:rsid w:val="100A243A"/>
    <w:rsid w:val="1015385D"/>
    <w:rsid w:val="10406357"/>
    <w:rsid w:val="1055158F"/>
    <w:rsid w:val="10637A13"/>
    <w:rsid w:val="107348E1"/>
    <w:rsid w:val="107B36EC"/>
    <w:rsid w:val="107D3033"/>
    <w:rsid w:val="107E65FB"/>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05A0B"/>
    <w:rsid w:val="150A1554"/>
    <w:rsid w:val="150F3CC6"/>
    <w:rsid w:val="153122C9"/>
    <w:rsid w:val="154F540A"/>
    <w:rsid w:val="155319D5"/>
    <w:rsid w:val="156752D2"/>
    <w:rsid w:val="157D0B57"/>
    <w:rsid w:val="157D5ACE"/>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F65054"/>
    <w:rsid w:val="17F9165D"/>
    <w:rsid w:val="17FD5CFB"/>
    <w:rsid w:val="181C5AFE"/>
    <w:rsid w:val="18262728"/>
    <w:rsid w:val="18276115"/>
    <w:rsid w:val="18555ABF"/>
    <w:rsid w:val="185F31B6"/>
    <w:rsid w:val="189B41AF"/>
    <w:rsid w:val="18F85CC5"/>
    <w:rsid w:val="19161B44"/>
    <w:rsid w:val="1943613C"/>
    <w:rsid w:val="19845FA1"/>
    <w:rsid w:val="19854A2E"/>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542B7"/>
    <w:rsid w:val="1C4E3A72"/>
    <w:rsid w:val="1C591E3C"/>
    <w:rsid w:val="1C5A6DF2"/>
    <w:rsid w:val="1C8702AB"/>
    <w:rsid w:val="1CAD29F5"/>
    <w:rsid w:val="1CD04682"/>
    <w:rsid w:val="1CD35F20"/>
    <w:rsid w:val="1CDE2D4A"/>
    <w:rsid w:val="1CDF3C59"/>
    <w:rsid w:val="1CE41B29"/>
    <w:rsid w:val="1CF6219E"/>
    <w:rsid w:val="1D011989"/>
    <w:rsid w:val="1D0B1D24"/>
    <w:rsid w:val="1D1C4C9A"/>
    <w:rsid w:val="1D2C0C7A"/>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2870CC"/>
    <w:rsid w:val="1F382298"/>
    <w:rsid w:val="1F4C5B16"/>
    <w:rsid w:val="1F6B6469"/>
    <w:rsid w:val="1F837870"/>
    <w:rsid w:val="1F84184E"/>
    <w:rsid w:val="1F8841C9"/>
    <w:rsid w:val="1F942DC6"/>
    <w:rsid w:val="1F9F5217"/>
    <w:rsid w:val="1F9F7B9A"/>
    <w:rsid w:val="1FC653B9"/>
    <w:rsid w:val="1FC830F6"/>
    <w:rsid w:val="1FCB7383"/>
    <w:rsid w:val="1FFD5491"/>
    <w:rsid w:val="1FFF49B3"/>
    <w:rsid w:val="20085EE1"/>
    <w:rsid w:val="200A49DA"/>
    <w:rsid w:val="2010615E"/>
    <w:rsid w:val="2020147D"/>
    <w:rsid w:val="202E73DC"/>
    <w:rsid w:val="20350D4E"/>
    <w:rsid w:val="20580C17"/>
    <w:rsid w:val="205B3A40"/>
    <w:rsid w:val="207C19DD"/>
    <w:rsid w:val="209A4709"/>
    <w:rsid w:val="20A32AD4"/>
    <w:rsid w:val="20A83190"/>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9A29C0"/>
    <w:rsid w:val="24A26904"/>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F5371"/>
    <w:rsid w:val="27897256"/>
    <w:rsid w:val="279E6A72"/>
    <w:rsid w:val="27A22B9A"/>
    <w:rsid w:val="27AE736E"/>
    <w:rsid w:val="27BA7541"/>
    <w:rsid w:val="27CC5A46"/>
    <w:rsid w:val="27E17707"/>
    <w:rsid w:val="2832016E"/>
    <w:rsid w:val="28332E82"/>
    <w:rsid w:val="28945AD5"/>
    <w:rsid w:val="28A17421"/>
    <w:rsid w:val="28CB2405"/>
    <w:rsid w:val="28CC65CA"/>
    <w:rsid w:val="28E4564A"/>
    <w:rsid w:val="28FD4C25"/>
    <w:rsid w:val="29121767"/>
    <w:rsid w:val="293529A7"/>
    <w:rsid w:val="294549B1"/>
    <w:rsid w:val="29890093"/>
    <w:rsid w:val="298E4667"/>
    <w:rsid w:val="299921F9"/>
    <w:rsid w:val="299E263B"/>
    <w:rsid w:val="29AC15DA"/>
    <w:rsid w:val="29C849C9"/>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620D79"/>
    <w:rsid w:val="307716A4"/>
    <w:rsid w:val="30791531"/>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702AE4"/>
    <w:rsid w:val="377A75FB"/>
    <w:rsid w:val="379940D4"/>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1F00CC"/>
    <w:rsid w:val="39266477"/>
    <w:rsid w:val="392E59B6"/>
    <w:rsid w:val="39497A4F"/>
    <w:rsid w:val="3952271F"/>
    <w:rsid w:val="39655B7A"/>
    <w:rsid w:val="396D35AB"/>
    <w:rsid w:val="39786167"/>
    <w:rsid w:val="397D063A"/>
    <w:rsid w:val="398F73DC"/>
    <w:rsid w:val="399C65C7"/>
    <w:rsid w:val="39C01BBA"/>
    <w:rsid w:val="39C731AB"/>
    <w:rsid w:val="39FE2850"/>
    <w:rsid w:val="3A085BAA"/>
    <w:rsid w:val="3A185D33"/>
    <w:rsid w:val="3A2C2104"/>
    <w:rsid w:val="3A967177"/>
    <w:rsid w:val="3A9D43B8"/>
    <w:rsid w:val="3AB3450A"/>
    <w:rsid w:val="3AB73885"/>
    <w:rsid w:val="3AD155B7"/>
    <w:rsid w:val="3AD41A3C"/>
    <w:rsid w:val="3AED668F"/>
    <w:rsid w:val="3AF07408"/>
    <w:rsid w:val="3AFA4DDD"/>
    <w:rsid w:val="3B0A6C0E"/>
    <w:rsid w:val="3B2D1CE0"/>
    <w:rsid w:val="3B2E1991"/>
    <w:rsid w:val="3B41700C"/>
    <w:rsid w:val="3B4336D5"/>
    <w:rsid w:val="3B862458"/>
    <w:rsid w:val="3B8F4DF4"/>
    <w:rsid w:val="3B915C89"/>
    <w:rsid w:val="3B9C1EA7"/>
    <w:rsid w:val="3BB15227"/>
    <w:rsid w:val="3BBE774B"/>
    <w:rsid w:val="3BCA36FC"/>
    <w:rsid w:val="3BD60C4D"/>
    <w:rsid w:val="3BDB75C3"/>
    <w:rsid w:val="3BEB24E7"/>
    <w:rsid w:val="3BF13876"/>
    <w:rsid w:val="3BFB140F"/>
    <w:rsid w:val="3C017C80"/>
    <w:rsid w:val="3C6B2863"/>
    <w:rsid w:val="3C7E046A"/>
    <w:rsid w:val="3CA2060D"/>
    <w:rsid w:val="3CC669C0"/>
    <w:rsid w:val="3CC66AB0"/>
    <w:rsid w:val="3CC742EA"/>
    <w:rsid w:val="3CCC78C1"/>
    <w:rsid w:val="3D191420"/>
    <w:rsid w:val="3D4729E2"/>
    <w:rsid w:val="3D870377"/>
    <w:rsid w:val="3DAA0180"/>
    <w:rsid w:val="3DB644C5"/>
    <w:rsid w:val="3DBA3955"/>
    <w:rsid w:val="3DC64303"/>
    <w:rsid w:val="3DFB09DB"/>
    <w:rsid w:val="3DFD18E3"/>
    <w:rsid w:val="3E234CC4"/>
    <w:rsid w:val="3E321A01"/>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85EA2"/>
    <w:rsid w:val="3F4F7EC2"/>
    <w:rsid w:val="3F5F4471"/>
    <w:rsid w:val="3F993F04"/>
    <w:rsid w:val="3FA469B6"/>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725710"/>
    <w:rsid w:val="429A6A1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801BB"/>
    <w:rsid w:val="4B0938BE"/>
    <w:rsid w:val="4B275ED4"/>
    <w:rsid w:val="4B4E0FC1"/>
    <w:rsid w:val="4B5A11A2"/>
    <w:rsid w:val="4B613829"/>
    <w:rsid w:val="4B7343E0"/>
    <w:rsid w:val="4B7B6C4C"/>
    <w:rsid w:val="4B8143F2"/>
    <w:rsid w:val="4B9565DB"/>
    <w:rsid w:val="4B967555"/>
    <w:rsid w:val="4B9A7A86"/>
    <w:rsid w:val="4BA9289B"/>
    <w:rsid w:val="4BC624A8"/>
    <w:rsid w:val="4BDE5BC4"/>
    <w:rsid w:val="4BED5700"/>
    <w:rsid w:val="4BF54DFA"/>
    <w:rsid w:val="4C25088A"/>
    <w:rsid w:val="4C260C7A"/>
    <w:rsid w:val="4C272002"/>
    <w:rsid w:val="4C51523E"/>
    <w:rsid w:val="4C6961B4"/>
    <w:rsid w:val="4C7622A1"/>
    <w:rsid w:val="4C9512AC"/>
    <w:rsid w:val="4CBF4CEF"/>
    <w:rsid w:val="4CD314A1"/>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231FB4"/>
    <w:rsid w:val="4E30022D"/>
    <w:rsid w:val="4E4E3891"/>
    <w:rsid w:val="4E7B594C"/>
    <w:rsid w:val="4E7B64C2"/>
    <w:rsid w:val="4E9D1C1C"/>
    <w:rsid w:val="4E9F0C0D"/>
    <w:rsid w:val="4EA75F3A"/>
    <w:rsid w:val="4EAF1CC4"/>
    <w:rsid w:val="4EC3269E"/>
    <w:rsid w:val="4ECD0F01"/>
    <w:rsid w:val="4EEA1762"/>
    <w:rsid w:val="4EEF6771"/>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C95E15"/>
    <w:rsid w:val="50CE2F73"/>
    <w:rsid w:val="50ED0658"/>
    <w:rsid w:val="510D5690"/>
    <w:rsid w:val="512348E8"/>
    <w:rsid w:val="512B60B4"/>
    <w:rsid w:val="513118E7"/>
    <w:rsid w:val="515E2842"/>
    <w:rsid w:val="51694722"/>
    <w:rsid w:val="516C26F5"/>
    <w:rsid w:val="5190720E"/>
    <w:rsid w:val="51A258E6"/>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424DE3"/>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9116E"/>
    <w:rsid w:val="59633BAD"/>
    <w:rsid w:val="59A71C9E"/>
    <w:rsid w:val="59A76356"/>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BB3B43"/>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D740F7"/>
    <w:rsid w:val="6228378C"/>
    <w:rsid w:val="6228683D"/>
    <w:rsid w:val="622D3184"/>
    <w:rsid w:val="625B5CA9"/>
    <w:rsid w:val="62756CE9"/>
    <w:rsid w:val="6294722E"/>
    <w:rsid w:val="62A5470E"/>
    <w:rsid w:val="62E56056"/>
    <w:rsid w:val="63003347"/>
    <w:rsid w:val="63023C14"/>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84CCC"/>
    <w:rsid w:val="64EF362D"/>
    <w:rsid w:val="64F472AA"/>
    <w:rsid w:val="65047D3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D24120"/>
    <w:rsid w:val="66E83943"/>
    <w:rsid w:val="66ED6329"/>
    <w:rsid w:val="66EF6874"/>
    <w:rsid w:val="66F145A6"/>
    <w:rsid w:val="66F531AA"/>
    <w:rsid w:val="66F608B5"/>
    <w:rsid w:val="66FA66F1"/>
    <w:rsid w:val="67140294"/>
    <w:rsid w:val="6721791E"/>
    <w:rsid w:val="67271ECB"/>
    <w:rsid w:val="672A6B2F"/>
    <w:rsid w:val="67483420"/>
    <w:rsid w:val="6777089F"/>
    <w:rsid w:val="67AB0BF9"/>
    <w:rsid w:val="67C43A69"/>
    <w:rsid w:val="67C76B90"/>
    <w:rsid w:val="67D475FA"/>
    <w:rsid w:val="67FB439B"/>
    <w:rsid w:val="67FF4466"/>
    <w:rsid w:val="68011EEA"/>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A7CCF"/>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3944E1"/>
    <w:rsid w:val="71B11E98"/>
    <w:rsid w:val="71B625C8"/>
    <w:rsid w:val="71D04CEB"/>
    <w:rsid w:val="71D4011E"/>
    <w:rsid w:val="71E2790D"/>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E36DA"/>
    <w:rsid w:val="747A3300"/>
    <w:rsid w:val="7481099D"/>
    <w:rsid w:val="74856120"/>
    <w:rsid w:val="748E118B"/>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B43AFA"/>
    <w:rsid w:val="77C853D2"/>
    <w:rsid w:val="77CB6284"/>
    <w:rsid w:val="77D54C59"/>
    <w:rsid w:val="77D9063B"/>
    <w:rsid w:val="78474B5C"/>
    <w:rsid w:val="7883171E"/>
    <w:rsid w:val="78A82F32"/>
    <w:rsid w:val="78FC7191"/>
    <w:rsid w:val="79072005"/>
    <w:rsid w:val="790F66E7"/>
    <w:rsid w:val="793B3DA7"/>
    <w:rsid w:val="796558AF"/>
    <w:rsid w:val="79714322"/>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AEA7832"/>
    <w:rsid w:val="7B0574E9"/>
    <w:rsid w:val="7B091377"/>
    <w:rsid w:val="7B367327"/>
    <w:rsid w:val="7B5E2AA7"/>
    <w:rsid w:val="7B71168E"/>
    <w:rsid w:val="7B9F046E"/>
    <w:rsid w:val="7BA571A1"/>
    <w:rsid w:val="7BA84BDE"/>
    <w:rsid w:val="7BDA4C3E"/>
    <w:rsid w:val="7BEB499A"/>
    <w:rsid w:val="7BED0D99"/>
    <w:rsid w:val="7BF7759F"/>
    <w:rsid w:val="7C0E5BCD"/>
    <w:rsid w:val="7C1B4A3B"/>
    <w:rsid w:val="7C211D7D"/>
    <w:rsid w:val="7C2E45FA"/>
    <w:rsid w:val="7C366D83"/>
    <w:rsid w:val="7C896BD7"/>
    <w:rsid w:val="7C8B7927"/>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46D8"/>
    <w:rsid w:val="7E3D10ED"/>
    <w:rsid w:val="7E4436FD"/>
    <w:rsid w:val="7E4B2A52"/>
    <w:rsid w:val="7E5C2FAF"/>
    <w:rsid w:val="7E5D1143"/>
    <w:rsid w:val="7E74390A"/>
    <w:rsid w:val="7EA64FD4"/>
    <w:rsid w:val="7EA652E1"/>
    <w:rsid w:val="7EAD7C73"/>
    <w:rsid w:val="7EC62B4F"/>
    <w:rsid w:val="7EC8404B"/>
    <w:rsid w:val="7ED4259F"/>
    <w:rsid w:val="7ED656C1"/>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paragraph" w:customStyle="1" w:styleId="38">
    <w:name w:val="正文首行缩进1"/>
    <w:basedOn w:val="2"/>
    <w:qFormat/>
    <w:uiPriority w:val="0"/>
    <w:pPr>
      <w:adjustRightInd w:val="0"/>
      <w:spacing w:line="360" w:lineRule="atLeast"/>
      <w:ind w:firstLine="420" w:firstLineChars="100"/>
      <w:jc w:val="left"/>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15536</Words>
  <Characters>16706</Characters>
  <Lines>127</Lines>
  <Paragraphs>35</Paragraphs>
  <TotalTime>0</TotalTime>
  <ScaleCrop>false</ScaleCrop>
  <LinksUpToDate>false</LinksUpToDate>
  <CharactersWithSpaces>17182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2022-05-20T05:07:51Z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E228C9FAD4514C9FBD60B28EA79ABF59</vt:lpwstr>
  </property>
</Properties>
</file>