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sz w:val="44"/>
          <w:szCs w:val="44"/>
          <w:lang w:val="en-US" w:eastAsia="zh-CN"/>
        </w:rPr>
        <w:t>7.11</w:t>
      </w:r>
      <w:r>
        <w:rPr>
          <w:rFonts w:hint="eastAsia" w:ascii="方正粗黑宋简体" w:hAnsi="方正粗黑宋简体" w:eastAsia="方正粗黑宋简体" w:cs="宋体"/>
          <w:b/>
          <w:bCs/>
          <w:sz w:val="44"/>
          <w:szCs w:val="44"/>
        </w:rPr>
        <w:t>特种车辆采购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7</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11</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13871"/>
      <w:bookmarkStart w:id="4" w:name="_Toc4489_WPSOffice_Level2"/>
      <w:bookmarkStart w:id="5" w:name="_Toc24354_WPSOffice_Level2"/>
      <w:bookmarkStart w:id="6" w:name="_Toc12765"/>
      <w:bookmarkStart w:id="7" w:name="_Toc10395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w:t>
      </w:r>
      <w:r>
        <w:rPr>
          <w:rFonts w:hint="eastAsia" w:ascii="宋体" w:hAnsi="宋体" w:eastAsia="宋体" w:cs="宋体"/>
          <w:szCs w:val="21"/>
          <w:u w:val="single"/>
          <w:lang w:val="en-US" w:eastAsia="zh-CN"/>
        </w:rPr>
        <w:t>7.11</w:t>
      </w:r>
      <w:r>
        <w:rPr>
          <w:rFonts w:hint="eastAsia" w:ascii="宋体" w:hAnsi="宋体" w:eastAsia="宋体" w:cs="宋体"/>
          <w:szCs w:val="21"/>
          <w:u w:val="single"/>
        </w:rPr>
        <w:t>特种车辆采购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为了</w:t>
      </w:r>
      <w:r>
        <w:rPr>
          <w:rFonts w:hint="eastAsia" w:ascii="Times New Roman" w:hAnsi="Times New Roman" w:cs="Times New Roman"/>
          <w:szCs w:val="22"/>
          <w:u w:val="single"/>
        </w:rPr>
        <w:t>进一步提升辖段除雪保畅通能力</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采购除雪车</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23266_WPSOffice_Level2"/>
      <w:bookmarkStart w:id="10" w:name="_Toc525632586"/>
      <w:bookmarkStart w:id="11" w:name="_Toc8128_WPSOffice_Level2"/>
      <w:bookmarkStart w:id="12" w:name="_Toc17858_WPSOffice_Level2"/>
      <w:bookmarkStart w:id="13" w:name="_Toc10274"/>
      <w:bookmarkStart w:id="14" w:name="_Toc18453"/>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采购除雪车</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78.5</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60</w:t>
      </w:r>
      <w:r>
        <w:rPr>
          <w:rFonts w:hint="eastAsia" w:cs="宋体"/>
          <w:szCs w:val="21"/>
          <w:u w:val="single"/>
        </w:rPr>
        <w:t>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31673_WPSOffice_Level2"/>
      <w:bookmarkStart w:id="20" w:name="_Toc3714"/>
      <w:bookmarkStart w:id="21" w:name="_Toc1622_WPSOffice_Level2"/>
      <w:bookmarkStart w:id="22" w:name="_Toc6388"/>
      <w:bookmarkStart w:id="23" w:name="_Toc22379_WPSOffice_Level2"/>
      <w:bookmarkStart w:id="24" w:name="_Toc525632587"/>
      <w:bookmarkStart w:id="25" w:name="_Toc29516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7</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1994"/>
      <w:bookmarkStart w:id="28" w:name="_Toc4109_WPSOffice_Level2"/>
      <w:bookmarkStart w:id="29" w:name="_Toc29452_WPSOffice_Level2"/>
      <w:bookmarkStart w:id="30" w:name="_Toc4751"/>
      <w:bookmarkStart w:id="31" w:name="_Toc525632588"/>
      <w:bookmarkStart w:id="32" w:name="_Toc2566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7</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19</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响应保证金的递交形式：响应保证金必须由报价人的基本账户一次性汇入本公告所示账号，并在2022年 </w:t>
      </w:r>
      <w:r>
        <w:rPr>
          <w:rFonts w:hint="eastAsia" w:ascii="Times New Roman" w:hAnsi="Times New Roman"/>
          <w:lang w:val="en-US" w:eastAsia="zh-CN"/>
        </w:rPr>
        <w:t>7</w:t>
      </w:r>
      <w:r>
        <w:rPr>
          <w:rFonts w:hint="eastAsia" w:ascii="Times New Roman" w:hAnsi="Times New Roman"/>
        </w:rPr>
        <w:t xml:space="preserve">月 </w:t>
      </w:r>
      <w:r>
        <w:rPr>
          <w:rFonts w:hint="eastAsia" w:ascii="Times New Roman" w:hAnsi="Times New Roman"/>
          <w:lang w:val="en-US" w:eastAsia="zh-CN"/>
        </w:rPr>
        <w:t>18</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321_WPSOffice_Level2"/>
      <w:bookmarkStart w:id="39" w:name="_Toc14943_WPSOffice_Level2"/>
      <w:bookmarkStart w:id="40" w:name="_Toc525632592"/>
      <w:bookmarkStart w:id="41" w:name="_Toc26829"/>
      <w:bookmarkStart w:id="42" w:name="_Toc28571_WPSOffice_Level2"/>
      <w:bookmarkStart w:id="43" w:name="_Toc20572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eastAsia" w:ascii="Times New Roman" w:hAnsi="Times New Roman"/>
          <w:color w:val="auto"/>
          <w:sz w:val="21"/>
          <w:szCs w:val="22"/>
          <w:lang w:val="en-US" w:eastAsia="zh-CN"/>
        </w:rPr>
        <w:t xml:space="preserve">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7</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11</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9067725"/>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18</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10</w:t>
            </w:r>
            <w:r>
              <w:rPr>
                <w:rFonts w:hint="eastAsia"/>
              </w:rPr>
              <w:t>分。</w:t>
            </w:r>
            <w:r>
              <w:rPr>
                <w:rFonts w:hint="eastAsia"/>
                <w:lang w:eastAsia="zh-CN"/>
              </w:rPr>
              <w:t>非</w:t>
            </w:r>
            <w:r>
              <w:rPr>
                <w:rFonts w:hint="eastAsia"/>
              </w:rPr>
              <w:t>主要技术参数低于询价文件要求的</w:t>
            </w:r>
            <w:r>
              <w:rPr>
                <w:rFonts w:hint="eastAsia"/>
                <w:lang w:eastAsia="zh-CN"/>
              </w:rPr>
              <w:t>或报价文件产品技术参数与产品公告不相符的</w:t>
            </w:r>
            <w:r>
              <w:rPr>
                <w:rFonts w:hint="eastAsia"/>
              </w:rPr>
              <w:t>，每项扣2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投标人或所投设备制造商提供的近三年（2019年</w:t>
            </w:r>
            <w:r>
              <w:rPr>
                <w:rFonts w:hint="eastAsia"/>
                <w:lang w:val="en-US" w:eastAsia="zh-CN"/>
              </w:rPr>
              <w:t>7</w:t>
            </w:r>
            <w:r>
              <w:rPr>
                <w:rFonts w:hint="eastAsia"/>
              </w:rPr>
              <w:t>月1日至响应文件递交截止日期，以合同签订时间为准）每增加</w:t>
            </w:r>
            <w:r>
              <w:rPr>
                <w:rFonts w:hint="eastAsia"/>
                <w:lang w:val="en-US" w:eastAsia="zh-CN"/>
              </w:rPr>
              <w:t>3</w:t>
            </w:r>
            <w:r>
              <w:rPr>
                <w:rFonts w:hint="eastAsia"/>
              </w:rPr>
              <w:t>台业绩得0.5分，满分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4. 所投品牌设备制造商企业</w:t>
            </w:r>
            <w:r>
              <w:rPr>
                <w:rFonts w:hint="eastAsia" w:ascii="Times New Roman" w:hAnsi="Times New Roman" w:eastAsia="宋体" w:cs="Times New Roman"/>
                <w:szCs w:val="21"/>
                <w:lang w:eastAsia="zh-CN"/>
              </w:rPr>
              <w:t>获得七星级售后服务体系完善程度认证证书的得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2.4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w:t>
      </w:r>
      <w:r>
        <w:rPr>
          <w:rFonts w:hint="eastAsia" w:ascii="宋体" w:hAnsi="宋体" w:eastAsia="宋体" w:cs="宋体"/>
          <w:kern w:val="0"/>
          <w:szCs w:val="21"/>
          <w:lang w:val="en-US" w:eastAsia="zh-CN"/>
        </w:rPr>
        <w:t>24</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24</w:t>
      </w:r>
      <w:r>
        <w:rPr>
          <w:rFonts w:hint="eastAsia" w:ascii="宋体" w:hAnsi="宋体" w:eastAsia="宋体" w:cs="宋体"/>
          <w:kern w:val="0"/>
          <w:szCs w:val="21"/>
        </w:rPr>
        <w:t>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jc w:val="left"/>
              <w:rPr>
                <w:rFonts w:hint="default" w:ascii="宋体" w:hAnsi="宋体" w:eastAsia="宋体" w:cs="Times New Roman"/>
                <w:b/>
                <w:bCs/>
                <w:szCs w:val="21"/>
                <w:lang w:val="en-US" w:eastAsia="zh-CN"/>
              </w:rPr>
            </w:pPr>
            <w:r>
              <w:rPr>
                <w:rFonts w:hint="eastAsia" w:ascii="宋体" w:hAnsi="宋体" w:eastAsia="宋体" w:cs="Times New Roman"/>
                <w:b/>
                <w:bCs/>
                <w:szCs w:val="21"/>
              </w:rPr>
              <w:t>多功能除雪车</w:t>
            </w:r>
            <w:r>
              <w:rPr>
                <w:rFonts w:hint="eastAsia" w:ascii="宋体" w:hAnsi="宋体" w:eastAsia="宋体" w:cs="Times New Roman"/>
                <w:b/>
                <w:bCs/>
                <w:szCs w:val="21"/>
                <w:lang w:val="en-US" w:eastAsia="zh-CN"/>
              </w:rPr>
              <w:t>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用途: 本车辆用于高速公路畅通保障应急养护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数量：1辆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整车，含雪铲（和扫雪滚刷可快速互换）和融雪剂撒布系统。除原来除雪车配置的除雪铲外，另外配置一台除雪铲，外配车辆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共计两套除雪铲</w:t>
            </w:r>
            <w:r>
              <w:rPr>
                <w:rFonts w:hint="eastAsia" w:ascii="宋体" w:hAnsi="宋体"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*除雪车整备质量≥</w:t>
            </w:r>
            <w:r>
              <w:rPr>
                <w:rFonts w:ascii="宋体" w:hAnsi="宋体" w:eastAsia="宋体" w:cs="Times New Roman"/>
                <w:szCs w:val="21"/>
              </w:rPr>
              <w:t>189</w:t>
            </w:r>
            <w:r>
              <w:rPr>
                <w:rFonts w:hint="eastAsia" w:ascii="宋体" w:hAnsi="宋体" w:eastAsia="宋体" w:cs="Times New Roman"/>
                <w:szCs w:val="21"/>
              </w:rPr>
              <w:t>00kg，额定载质量≥5900kg。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*发动机功率（不低于潍柴、玉柴发动机或更优品牌）：≥2</w:t>
            </w:r>
            <w:r>
              <w:rPr>
                <w:rFonts w:ascii="宋体" w:hAnsi="宋体" w:eastAsia="宋体" w:cs="Times New Roman"/>
                <w:szCs w:val="21"/>
              </w:rPr>
              <w:t>90</w:t>
            </w:r>
            <w:r>
              <w:rPr>
                <w:rFonts w:hint="eastAsia" w:ascii="宋体" w:hAnsi="宋体" w:eastAsia="宋体" w:cs="Times New Roman"/>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jc w:val="left"/>
              <w:rPr>
                <w:rFonts w:ascii="宋体" w:hAnsi="宋体" w:eastAsia="宋体" w:cs="Times New Roman"/>
                <w:szCs w:val="21"/>
              </w:rPr>
            </w:pPr>
            <w:r>
              <w:rPr>
                <w:rFonts w:hint="eastAsia" w:ascii="宋体" w:hAnsi="宋体" w:eastAsia="宋体" w:cs="Times New Roman"/>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轮胎：全钢丝子午线轮胎12.</w:t>
            </w:r>
            <w:r>
              <w:rPr>
                <w:rFonts w:ascii="宋体" w:hAnsi="宋体" w:eastAsia="宋体" w:cs="Times New Roman"/>
                <w:szCs w:val="21"/>
              </w:rPr>
              <w:t>00</w:t>
            </w:r>
            <w:r>
              <w:rPr>
                <w:rFonts w:hint="eastAsia" w:ascii="宋体" w:hAnsi="宋体" w:eastAsia="宋体" w:cs="Times New Roman"/>
                <w:szCs w:val="21"/>
              </w:rPr>
              <w:t>R2</w:t>
            </w:r>
            <w:r>
              <w:rPr>
                <w:rFonts w:ascii="宋体" w:hAnsi="宋体" w:eastAsia="宋体" w:cs="Times New Roman"/>
                <w:szCs w:val="21"/>
              </w:rPr>
              <w:t>0</w:t>
            </w:r>
            <w:r>
              <w:rPr>
                <w:rFonts w:hint="eastAsia" w:ascii="宋体" w:hAnsi="宋体" w:eastAsia="宋体" w:cs="Times New Roman"/>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整车外形尺寸（不包括除雪铲）（长×宽×高mm）： 1</w:t>
            </w:r>
            <w:r>
              <w:rPr>
                <w:rFonts w:ascii="宋体" w:hAnsi="宋体" w:eastAsia="宋体" w:cs="Times New Roman"/>
                <w:szCs w:val="21"/>
              </w:rPr>
              <w:t>0</w:t>
            </w:r>
            <w:r>
              <w:rPr>
                <w:rFonts w:hint="eastAsia" w:ascii="宋体" w:hAnsi="宋体" w:eastAsia="宋体" w:cs="Times New Roman"/>
                <w:szCs w:val="21"/>
              </w:rPr>
              <w:t>600±×2500±×3</w:t>
            </w:r>
            <w:r>
              <w:rPr>
                <w:rFonts w:ascii="宋体" w:hAnsi="宋体" w:eastAsia="宋体" w:cs="Times New Roman"/>
                <w:szCs w:val="21"/>
              </w:rPr>
              <w:t>80</w:t>
            </w:r>
            <w:r>
              <w:rPr>
                <w:rFonts w:hint="eastAsia" w:ascii="宋体" w:hAnsi="宋体" w:eastAsia="宋体" w:cs="Times New Roman"/>
                <w:szCs w:val="21"/>
              </w:rPr>
              <w:t>5±</w:t>
            </w:r>
            <w:r>
              <w:rPr>
                <w:rFonts w:ascii="宋体" w:hAnsi="宋体" w:eastAsia="宋体" w:cs="Times New Roman"/>
                <w:szCs w:val="21"/>
              </w:rPr>
              <w:t>1</w:t>
            </w:r>
            <w:r>
              <w:rPr>
                <w:rFonts w:hint="eastAsia" w:ascii="宋体" w:hAnsi="宋体" w:eastAsia="宋体" w:cs="Times New Roman"/>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货箱板内尺寸（长×宽×高mm）： 60</w:t>
            </w:r>
            <w:r>
              <w:rPr>
                <w:rFonts w:ascii="宋体" w:hAnsi="宋体" w:eastAsia="宋体" w:cs="Times New Roman"/>
                <w:szCs w:val="21"/>
              </w:rPr>
              <w:t>0</w:t>
            </w:r>
            <w:r>
              <w:rPr>
                <w:rFonts w:hint="eastAsia" w:ascii="宋体" w:hAnsi="宋体" w:eastAsia="宋体" w:cs="Times New Roman"/>
                <w:szCs w:val="21"/>
              </w:rPr>
              <w:t>0±×2300±×1</w:t>
            </w:r>
            <w:r>
              <w:rPr>
                <w:rFonts w:ascii="宋体" w:hAnsi="宋体" w:eastAsia="宋体" w:cs="Times New Roman"/>
                <w:szCs w:val="21"/>
              </w:rPr>
              <w:t>115</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推雪板铲刃具有耐磨性和抗冲击能力强及可更换的特点，采用N</w:t>
            </w:r>
            <w:r>
              <w:rPr>
                <w:rFonts w:ascii="宋体" w:hAnsi="宋体" w:eastAsia="宋体" w:cs="Times New Roman"/>
                <w:szCs w:val="21"/>
              </w:rPr>
              <w:t>M</w:t>
            </w:r>
            <w:r>
              <w:rPr>
                <w:rFonts w:hint="eastAsia" w:ascii="宋体" w:hAnsi="宋体" w:eastAsia="宋体" w:cs="Times New Roman"/>
                <w:szCs w:val="21"/>
              </w:rPr>
              <w:t>450材料，寿命：≥300h，2块分段铲刃，单条铲刃尺寸（长*宽*高）≥1700*270*16mm，铲刃磨损后可以翻转使用，增加使用寿命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推雪板宽：≥3</w:t>
            </w:r>
            <w:r>
              <w:rPr>
                <w:rFonts w:ascii="宋体" w:hAnsi="宋体" w:eastAsia="宋体" w:cs="Times New Roman"/>
                <w:szCs w:val="21"/>
              </w:rPr>
              <w:t>6</w:t>
            </w:r>
            <w:r>
              <w:rPr>
                <w:rFonts w:hint="eastAsia" w:ascii="宋体" w:hAnsi="宋体" w:eastAsia="宋体" w:cs="Times New Roman"/>
                <w:szCs w:val="21"/>
              </w:rPr>
              <w:t>00mm，工作宽度：≥</w:t>
            </w:r>
            <w:r>
              <w:rPr>
                <w:rFonts w:ascii="宋体" w:hAnsi="宋体" w:eastAsia="宋体" w:cs="Times New Roman"/>
                <w:szCs w:val="21"/>
              </w:rPr>
              <w:t>30</w:t>
            </w:r>
            <w:r>
              <w:rPr>
                <w:rFonts w:hint="eastAsia" w:ascii="宋体" w:hAnsi="宋体" w:eastAsia="宋体" w:cs="Times New Roman"/>
                <w:szCs w:val="21"/>
              </w:rPr>
              <w:t>00mm, 可液压控制左右摆动角度左右摆动角度：≥0-±</w:t>
            </w:r>
            <w:r>
              <w:rPr>
                <w:rFonts w:ascii="宋体" w:hAnsi="宋体" w:eastAsia="宋体" w:cs="Times New Roman"/>
                <w:szCs w:val="21"/>
              </w:rPr>
              <w:t>30</w:t>
            </w:r>
            <w:r>
              <w:rPr>
                <w:rFonts w:hint="eastAsia" w:ascii="宋体" w:hAnsi="宋体" w:eastAsia="宋体" w:cs="Times New Roman"/>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*推雪板高：≥1000mm，除雪板重量：≥1000kg，对压实雪具有强制下压功能，保证在短时间内清除压实雪，采用平行四连杆机构，不使用钢丝绳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推雪板拆卸方便，一个人可以完成装卸，外置升降按钮。（提供图片说明）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推雪板和撒布机动作控制集成在一个智能触摸屏控制器上，在驾驶室内可以完成各种操作</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推雪板具有自动避障和自动复位功能，铲刃分两段避障，避障形式:采用压缩式弹簧避障，六座簧下翻板式，撞击障碍物后铲刃每段都能单独翻转避障，越障高度：≥100mm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推雪板要求具有路沿防碰撞功能和防伸缩缝装置，通过螺栓固定，可拆卸，防撞装置尺寸（长×直径）：≥220×70mm，</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撒布机料仓容量：≥12m³</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具有皮带清扫装置，可将附着在皮带上的融雪剂清扫下来，防止把融雪剂带进底盘造成腐蚀。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采用橡胶皮带式输料器，不接受其他传动方式。坚固耐用抗腐蚀性优良，皮带有效宽度：≥450mm，液压泵带动液压变速箱，驱动输料器，能避免打滑、丢转产生的漏撒、撒布不均匀等现象，具有对物料的削切功能，削切板结且体积较大的物料，</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料仓内部设有可水平移动的树状装置，装置作用于料仓总长五分之四的范围。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配有可供设备拆卸的自卸支腿，以便适应不同车型及不同区域储存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撒布机外形尺寸（长*宽*高）mm：</w:t>
            </w:r>
            <w:r>
              <w:rPr>
                <w:rFonts w:ascii="宋体" w:hAnsi="宋体" w:eastAsia="宋体" w:cs="Times New Roman"/>
                <w:szCs w:val="21"/>
              </w:rPr>
              <w:t>7060*1990*2150</w:t>
            </w:r>
            <w:r>
              <w:rPr>
                <w:rFonts w:hint="eastAsia" w:ascii="宋体" w:hAnsi="宋体" w:eastAsia="宋体" w:cs="Times New Roman"/>
                <w:szCs w:val="21"/>
              </w:rPr>
              <w:t>±</w:t>
            </w:r>
            <w:r>
              <w:rPr>
                <w:rFonts w:ascii="宋体" w:hAnsi="宋体" w:eastAsia="宋体" w:cs="Times New Roman"/>
                <w:szCs w:val="21"/>
              </w:rPr>
              <w:t>50</w:t>
            </w:r>
            <w:r>
              <w:rPr>
                <w:rFonts w:hint="eastAsia" w:ascii="宋体" w:hAnsi="宋体" w:eastAsia="宋体" w:cs="Times New Roman"/>
                <w:szCs w:val="21"/>
              </w:rPr>
              <w:t>，安装适当高度LED工作灯及警示灯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w:t>
            </w:r>
            <w:r>
              <w:rPr>
                <w:rFonts w:ascii="宋体" w:hAnsi="宋体" w:eastAsia="宋体" w:cs="Times New Roman"/>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车身颜色为工程黄色，均须安装晚间工作时的车后双向灯，驾驶室顶配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4.2.4</w:t>
            </w:r>
            <w:r>
              <w:rPr>
                <w:rFonts w:ascii="宋体" w:hAnsi="宋体" w:eastAsia="宋体" w:cs="Times New Roman"/>
                <w:szCs w:val="21"/>
              </w:rPr>
              <w:t>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交货期：≤</w:t>
            </w:r>
            <w:r>
              <w:rPr>
                <w:rFonts w:ascii="宋体" w:hAnsi="宋体" w:eastAsia="宋体" w:cs="Times New Roman"/>
                <w:szCs w:val="21"/>
              </w:rPr>
              <w:t>6</w:t>
            </w:r>
            <w:r>
              <w:rPr>
                <w:rFonts w:hint="eastAsia" w:ascii="宋体" w:hAnsi="宋体" w:eastAsia="宋体" w:cs="Times New Roman"/>
                <w:szCs w:val="21"/>
              </w:rPr>
              <w:t>0 天（</w:t>
            </w:r>
            <w:r>
              <w:rPr>
                <w:rFonts w:hint="eastAsia" w:ascii="宋体" w:hAnsi="宋体" w:eastAsia="宋体" w:cs="宋体"/>
                <w:kern w:val="0"/>
                <w:sz w:val="22"/>
              </w:rPr>
              <w:t>合同签订后</w:t>
            </w:r>
            <w:r>
              <w:rPr>
                <w:rFonts w:ascii="宋体" w:hAnsi="宋体" w:eastAsia="宋体" w:cs="宋体"/>
                <w:kern w:val="0"/>
                <w:sz w:val="22"/>
              </w:rPr>
              <w:t>6</w:t>
            </w:r>
            <w:r>
              <w:rPr>
                <w:rFonts w:hint="eastAsia" w:ascii="宋体" w:hAnsi="宋体" w:eastAsia="宋体" w:cs="宋体"/>
                <w:kern w:val="0"/>
                <w:sz w:val="22"/>
              </w:rPr>
              <w:t>0天内</w:t>
            </w:r>
            <w:r>
              <w:rPr>
                <w:rFonts w:hint="eastAsia" w:ascii="宋体" w:hAnsi="宋体"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7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4.2.4</w:t>
            </w:r>
            <w:r>
              <w:rPr>
                <w:rFonts w:ascii="宋体" w:hAnsi="宋体" w:eastAsia="宋体" w:cs="Times New Roman"/>
                <w:szCs w:val="21"/>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质保期：</w:t>
            </w:r>
            <w:r>
              <w:rPr>
                <w:rFonts w:hint="eastAsia" w:ascii="宋体" w:hAnsi="宋体" w:eastAsia="宋体" w:cs="Times New Roman"/>
                <w:szCs w:val="21"/>
                <w:lang w:val="en-US" w:eastAsia="zh-CN"/>
              </w:rPr>
              <w:t>24</w:t>
            </w:r>
            <w:r>
              <w:rPr>
                <w:rFonts w:hint="eastAsia" w:ascii="宋体" w:hAnsi="宋体" w:eastAsia="宋体" w:cs="Times New Roman"/>
                <w:szCs w:val="21"/>
              </w:rPr>
              <w:t>个月</w:t>
            </w:r>
          </w:p>
        </w:tc>
      </w:tr>
    </w:tbl>
    <w:p>
      <w:pPr>
        <w:rPr>
          <w:rFonts w:ascii="Times New Roman" w:hAnsi="Times New Roman" w:eastAsia="宋体" w:cs="Times New Roman"/>
        </w:rPr>
      </w:pPr>
    </w:p>
    <w:p>
      <w:pPr>
        <w:pStyle w:val="2"/>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hint="eastAsia" w:ascii="宋体" w:hAnsi="宋体"/>
          <w:szCs w:val="21"/>
        </w:rPr>
        <w:t>本货物需求一览表中标注★号的内容为评标的实质性要求和条件，投标人必须完全响应，投标人有一项不满足的，其投标将被否决。未标注★号的内容为一般技术指标,必须满足90%以上，</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3125"/>
      <w:bookmarkStart w:id="80" w:name="_Toc27869"/>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w:t>
      </w:r>
      <w:r>
        <w:rPr>
          <w:rFonts w:hint="eastAsia" w:ascii="宋体" w:hAnsi="宋体" w:cs="方正小标宋简体"/>
          <w:bCs/>
          <w:szCs w:val="21"/>
          <w:lang w:val="en-US" w:eastAsia="zh-CN"/>
        </w:rPr>
        <w:t>60</w:t>
      </w:r>
      <w:r>
        <w:rPr>
          <w:rFonts w:hint="eastAsia" w:ascii="宋体" w:hAnsi="宋体" w:cs="方正小标宋简体"/>
          <w:bCs/>
          <w:szCs w:val="21"/>
        </w:rPr>
        <w:t>日。</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ascii="宋体" w:hAnsi="宋体" w:cs="方正小标宋简体"/>
          <w:bCs/>
          <w:szCs w:val="21"/>
          <w:lang w:val="en-US" w:eastAsia="zh-CN"/>
        </w:rPr>
        <w:t>60</w:t>
      </w:r>
      <w:r>
        <w:rPr>
          <w:rFonts w:hint="eastAsia" w:ascii="宋体" w:hAnsi="宋体" w:cs="方正小标宋简体"/>
          <w:bCs/>
          <w:szCs w:val="21"/>
        </w:rPr>
        <w:t>日。</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ascii="宋体" w:hAnsi="宋体" w:cs="方正小标宋简体"/>
          <w:bCs/>
          <w:szCs w:val="21"/>
        </w:rPr>
      </w:pPr>
    </w:p>
    <w:p>
      <w:pPr>
        <w:pStyle w:val="2"/>
        <w:rPr>
          <w:rFonts w:ascii="宋体" w:hAnsi="宋体" w:cs="方正小标宋简体"/>
          <w:bCs/>
          <w:szCs w:val="21"/>
        </w:rPr>
      </w:pPr>
    </w:p>
    <w:p>
      <w:pPr>
        <w:pStyle w:val="10"/>
        <w:spacing w:line="360" w:lineRule="auto"/>
        <w:jc w:val="both"/>
        <w:rPr>
          <w:rFonts w:ascii="仿宋" w:hAnsi="仿宋" w:eastAsia="仿宋" w:cs="仿宋"/>
          <w:b/>
          <w:bCs/>
          <w:sz w:val="30"/>
          <w:szCs w:val="30"/>
        </w:rPr>
      </w:pPr>
    </w:p>
    <w:p>
      <w:pPr>
        <w:pStyle w:val="10"/>
        <w:spacing w:line="360" w:lineRule="auto"/>
        <w:jc w:val="both"/>
        <w:rPr>
          <w:rFonts w:ascii="仿宋" w:hAnsi="仿宋" w:eastAsia="仿宋" w:cs="仿宋"/>
          <w:b/>
          <w:bCs/>
          <w:sz w:val="30"/>
          <w:szCs w:val="30"/>
        </w:rPr>
      </w:pPr>
    </w:p>
    <w:p>
      <w:pPr>
        <w:pStyle w:val="10"/>
        <w:spacing w:line="360" w:lineRule="auto"/>
        <w:jc w:val="both"/>
        <w:rPr>
          <w:rFonts w:ascii="仿宋" w:hAnsi="仿宋" w:eastAsia="仿宋" w:cs="仿宋"/>
          <w:b/>
          <w:bCs/>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color w:val="FF0000"/>
                <w:sz w:val="24"/>
              </w:rPr>
            </w:pPr>
            <w:r>
              <w:rPr>
                <w:rFonts w:hint="eastAsia"/>
                <w:sz w:val="24"/>
              </w:rPr>
              <w:t>除雪车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bookmarkStart w:id="85" w:name="_Toc9834_WPSOffice_Level1"/>
          </w:p>
        </w:tc>
        <w:tc>
          <w:tcPr>
            <w:tcW w:w="2344" w:type="dxa"/>
            <w:vAlign w:val="center"/>
          </w:tcPr>
          <w:p>
            <w:pPr>
              <w:widowControl/>
              <w:jc w:val="center"/>
              <w:textAlignment w:val="center"/>
              <w:rPr>
                <w:rFonts w:hint="eastAsia" w:ascii="宋体" w:hAnsi="宋体" w:eastAsia="宋体" w:cs="宋体"/>
                <w:sz w:val="24"/>
                <w:lang w:eastAsia="zh-CN"/>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p>
        </w:tc>
        <w:tc>
          <w:tcPr>
            <w:tcW w:w="885" w:type="dxa"/>
            <w:vAlign w:val="center"/>
          </w:tcPr>
          <w:p>
            <w:pPr>
              <w:jc w:val="center"/>
              <w:rPr>
                <w:rFonts w:hint="eastAsia" w:ascii="宋体" w:hAnsi="宋体" w:eastAsia="宋体" w:cs="宋体"/>
                <w:sz w:val="24"/>
                <w:lang w:val="en-US" w:eastAsia="zh-CN"/>
              </w:rPr>
            </w:pPr>
          </w:p>
        </w:tc>
        <w:tc>
          <w:tcPr>
            <w:tcW w:w="1009" w:type="dxa"/>
            <w:vAlign w:val="center"/>
          </w:tcPr>
          <w:p>
            <w:pPr>
              <w:spacing w:before="100" w:beforeAutospacing="1" w:after="100" w:afterAutospacing="1" w:line="360" w:lineRule="auto"/>
              <w:jc w:val="center"/>
              <w:rPr>
                <w:rFonts w:hint="eastAsia" w:cs="宋体" w:eastAsiaTheme="minorEastAsia"/>
                <w:sz w:val="24"/>
                <w:lang w:eastAsia="zh-CN"/>
              </w:rPr>
            </w:pP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p>
        </w:tc>
        <w:tc>
          <w:tcPr>
            <w:tcW w:w="2344" w:type="dxa"/>
            <w:vAlign w:val="center"/>
          </w:tcPr>
          <w:p>
            <w:pPr>
              <w:widowControl/>
              <w:jc w:val="center"/>
              <w:textAlignment w:val="center"/>
              <w:rPr>
                <w:rFonts w:hint="eastAsia" w:ascii="宋体" w:hAnsi="宋体" w:eastAsia="宋体" w:cs="宋体"/>
                <w:sz w:val="24"/>
                <w:lang w:eastAsia="zh-CN"/>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p>
        </w:tc>
        <w:tc>
          <w:tcPr>
            <w:tcW w:w="885" w:type="dxa"/>
            <w:vAlign w:val="center"/>
          </w:tcPr>
          <w:p>
            <w:pPr>
              <w:jc w:val="center"/>
              <w:rPr>
                <w:rFonts w:hint="eastAsia" w:ascii="宋体" w:hAnsi="宋体" w:eastAsia="宋体" w:cs="宋体"/>
                <w:sz w:val="24"/>
                <w:lang w:val="en-US" w:eastAsia="zh-CN"/>
              </w:rPr>
            </w:pPr>
          </w:p>
        </w:tc>
        <w:tc>
          <w:tcPr>
            <w:tcW w:w="1009" w:type="dxa"/>
            <w:vAlign w:val="center"/>
          </w:tcPr>
          <w:p>
            <w:pPr>
              <w:spacing w:before="100" w:beforeAutospacing="1" w:after="100" w:afterAutospacing="1" w:line="360" w:lineRule="auto"/>
              <w:jc w:val="center"/>
              <w:rPr>
                <w:rFonts w:hint="eastAsia" w:cs="宋体" w:eastAsiaTheme="minorEastAsia"/>
                <w:sz w:val="24"/>
                <w:lang w:eastAsia="zh-CN"/>
              </w:rPr>
            </w:pP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p>
        </w:tc>
        <w:tc>
          <w:tcPr>
            <w:tcW w:w="2344" w:type="dxa"/>
            <w:vAlign w:val="center"/>
          </w:tcPr>
          <w:p>
            <w:pPr>
              <w:widowControl/>
              <w:jc w:val="center"/>
              <w:textAlignment w:val="center"/>
              <w:rPr>
                <w:rFonts w:hint="eastAsia" w:ascii="宋体" w:hAnsi="宋体" w:eastAsia="宋体" w:cs="宋体"/>
                <w:sz w:val="24"/>
                <w:lang w:eastAsia="zh-CN"/>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hint="eastAsia" w:ascii="宋体" w:hAnsi="宋体" w:eastAsia="宋体" w:cs="宋体"/>
                <w:sz w:val="24"/>
                <w:lang w:eastAsia="zh-CN"/>
              </w:rPr>
            </w:pPr>
          </w:p>
        </w:tc>
        <w:tc>
          <w:tcPr>
            <w:tcW w:w="885" w:type="dxa"/>
            <w:vAlign w:val="center"/>
          </w:tcPr>
          <w:p>
            <w:pPr>
              <w:jc w:val="center"/>
              <w:rPr>
                <w:rFonts w:hint="eastAsia" w:ascii="宋体" w:hAnsi="宋体" w:eastAsia="宋体" w:cs="宋体"/>
                <w:sz w:val="24"/>
                <w:lang w:val="en-US" w:eastAsia="zh-CN"/>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bookmarkStart w:id="169" w:name="_GoBack"/>
      <w:bookmarkEnd w:id="169"/>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36276"/>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822573"/>
    <w:rsid w:val="01992D6C"/>
    <w:rsid w:val="01A05D40"/>
    <w:rsid w:val="01A074BF"/>
    <w:rsid w:val="01C47A83"/>
    <w:rsid w:val="01D26FB5"/>
    <w:rsid w:val="01D8197B"/>
    <w:rsid w:val="01F30A06"/>
    <w:rsid w:val="01F423F9"/>
    <w:rsid w:val="020E2058"/>
    <w:rsid w:val="02355837"/>
    <w:rsid w:val="024946D1"/>
    <w:rsid w:val="0250686A"/>
    <w:rsid w:val="02595534"/>
    <w:rsid w:val="02763446"/>
    <w:rsid w:val="028275B1"/>
    <w:rsid w:val="02836B8D"/>
    <w:rsid w:val="02A66735"/>
    <w:rsid w:val="02AA57BB"/>
    <w:rsid w:val="02B50726"/>
    <w:rsid w:val="02B7452C"/>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070DF"/>
    <w:rsid w:val="03F510F7"/>
    <w:rsid w:val="040F0B7F"/>
    <w:rsid w:val="04211E08"/>
    <w:rsid w:val="04262680"/>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5F652DD"/>
    <w:rsid w:val="0616234B"/>
    <w:rsid w:val="061C6516"/>
    <w:rsid w:val="06206644"/>
    <w:rsid w:val="06233674"/>
    <w:rsid w:val="06356AB4"/>
    <w:rsid w:val="06361B7E"/>
    <w:rsid w:val="0637658C"/>
    <w:rsid w:val="06420BE5"/>
    <w:rsid w:val="064918B1"/>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74359"/>
    <w:rsid w:val="0A4977DA"/>
    <w:rsid w:val="0A5D06A7"/>
    <w:rsid w:val="0A605CF3"/>
    <w:rsid w:val="0A6564B9"/>
    <w:rsid w:val="0A6B7FB8"/>
    <w:rsid w:val="0A7D7D7B"/>
    <w:rsid w:val="0AA52BD3"/>
    <w:rsid w:val="0AAC4813"/>
    <w:rsid w:val="0AB417AF"/>
    <w:rsid w:val="0ACB14D5"/>
    <w:rsid w:val="0AF73FD1"/>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932008"/>
    <w:rsid w:val="0C954935"/>
    <w:rsid w:val="0C9E6EE9"/>
    <w:rsid w:val="0CA60BF4"/>
    <w:rsid w:val="0CEE2538"/>
    <w:rsid w:val="0CFF356B"/>
    <w:rsid w:val="0D046532"/>
    <w:rsid w:val="0D1C692C"/>
    <w:rsid w:val="0D1F7FB3"/>
    <w:rsid w:val="0D235F12"/>
    <w:rsid w:val="0D371527"/>
    <w:rsid w:val="0D421699"/>
    <w:rsid w:val="0D491784"/>
    <w:rsid w:val="0D903958"/>
    <w:rsid w:val="0DBC5FD9"/>
    <w:rsid w:val="0DBF7526"/>
    <w:rsid w:val="0DD8176C"/>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296723"/>
    <w:rsid w:val="0F3638ED"/>
    <w:rsid w:val="0F4702A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D06D7A"/>
    <w:rsid w:val="10EE14A7"/>
    <w:rsid w:val="10EF74F9"/>
    <w:rsid w:val="10F71714"/>
    <w:rsid w:val="11076A24"/>
    <w:rsid w:val="110B15DD"/>
    <w:rsid w:val="112B09BB"/>
    <w:rsid w:val="115C0B2F"/>
    <w:rsid w:val="116C0B49"/>
    <w:rsid w:val="119244F6"/>
    <w:rsid w:val="119B7A2E"/>
    <w:rsid w:val="119D73DC"/>
    <w:rsid w:val="11A73A14"/>
    <w:rsid w:val="11AE2F10"/>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4A310C"/>
    <w:rsid w:val="137511FB"/>
    <w:rsid w:val="138D187E"/>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906E0"/>
    <w:rsid w:val="16057AB2"/>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6C00C4"/>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5894"/>
    <w:rsid w:val="1F6966C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32177F"/>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83B09"/>
    <w:rsid w:val="257D4C7B"/>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32534"/>
    <w:rsid w:val="279E6A72"/>
    <w:rsid w:val="27A22B9A"/>
    <w:rsid w:val="27BA7541"/>
    <w:rsid w:val="27E17707"/>
    <w:rsid w:val="2832016E"/>
    <w:rsid w:val="28332E82"/>
    <w:rsid w:val="28945AD5"/>
    <w:rsid w:val="28A17421"/>
    <w:rsid w:val="28CB2405"/>
    <w:rsid w:val="28CC65CA"/>
    <w:rsid w:val="28E079FB"/>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E0CFB"/>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1937F3"/>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A15D40"/>
    <w:rsid w:val="32BC0383"/>
    <w:rsid w:val="32C23720"/>
    <w:rsid w:val="32D33D11"/>
    <w:rsid w:val="32E2300A"/>
    <w:rsid w:val="33035B90"/>
    <w:rsid w:val="33100AE4"/>
    <w:rsid w:val="332334E6"/>
    <w:rsid w:val="333052D8"/>
    <w:rsid w:val="3356659E"/>
    <w:rsid w:val="3388358D"/>
    <w:rsid w:val="33A67436"/>
    <w:rsid w:val="33C573CB"/>
    <w:rsid w:val="33C63C91"/>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70C460C"/>
    <w:rsid w:val="37117618"/>
    <w:rsid w:val="371B6C62"/>
    <w:rsid w:val="373B0A3F"/>
    <w:rsid w:val="37592A8C"/>
    <w:rsid w:val="375F0F03"/>
    <w:rsid w:val="37702AE4"/>
    <w:rsid w:val="377A75FB"/>
    <w:rsid w:val="379940D4"/>
    <w:rsid w:val="37E57834"/>
    <w:rsid w:val="38120363"/>
    <w:rsid w:val="382A0CE5"/>
    <w:rsid w:val="383261D0"/>
    <w:rsid w:val="383D1E66"/>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192D6D"/>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77232F"/>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397E0A"/>
    <w:rsid w:val="3D4445A5"/>
    <w:rsid w:val="3D4729E2"/>
    <w:rsid w:val="3D870377"/>
    <w:rsid w:val="3D9B1CEB"/>
    <w:rsid w:val="3DB644C5"/>
    <w:rsid w:val="3DBA3955"/>
    <w:rsid w:val="3DC64303"/>
    <w:rsid w:val="3DFD18E3"/>
    <w:rsid w:val="3E037C03"/>
    <w:rsid w:val="3E126C05"/>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FF778E"/>
    <w:rsid w:val="4702061D"/>
    <w:rsid w:val="470E352E"/>
    <w:rsid w:val="470F50AF"/>
    <w:rsid w:val="471A08BE"/>
    <w:rsid w:val="471C3E9C"/>
    <w:rsid w:val="472D380E"/>
    <w:rsid w:val="473B610C"/>
    <w:rsid w:val="47407861"/>
    <w:rsid w:val="4756581D"/>
    <w:rsid w:val="476B0980"/>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7321E2"/>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92519"/>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22FAD"/>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B61EE"/>
    <w:rsid w:val="4CEB6BD1"/>
    <w:rsid w:val="4CFF0540"/>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1F277C"/>
    <w:rsid w:val="4F2A5D64"/>
    <w:rsid w:val="4F2F61D8"/>
    <w:rsid w:val="4F3610D5"/>
    <w:rsid w:val="4F3772ED"/>
    <w:rsid w:val="4F377DEA"/>
    <w:rsid w:val="4F3E2DF1"/>
    <w:rsid w:val="4F444103"/>
    <w:rsid w:val="4F490CA6"/>
    <w:rsid w:val="4F4977F9"/>
    <w:rsid w:val="4F4B2539"/>
    <w:rsid w:val="4F4B5944"/>
    <w:rsid w:val="4F5B77C3"/>
    <w:rsid w:val="4F7A20A8"/>
    <w:rsid w:val="4FA451DF"/>
    <w:rsid w:val="4FA72771"/>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8B6C58"/>
    <w:rsid w:val="52A9097C"/>
    <w:rsid w:val="52B54EDC"/>
    <w:rsid w:val="52C939F0"/>
    <w:rsid w:val="52CF6267"/>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2024E0"/>
    <w:rsid w:val="543C6045"/>
    <w:rsid w:val="544113E6"/>
    <w:rsid w:val="54442A7B"/>
    <w:rsid w:val="54577048"/>
    <w:rsid w:val="545C4EB6"/>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60476"/>
    <w:rsid w:val="55C83941"/>
    <w:rsid w:val="55DA29AC"/>
    <w:rsid w:val="55DB488F"/>
    <w:rsid w:val="55F304BE"/>
    <w:rsid w:val="55F92F01"/>
    <w:rsid w:val="561E6AF9"/>
    <w:rsid w:val="561F5757"/>
    <w:rsid w:val="562B638E"/>
    <w:rsid w:val="56424DE3"/>
    <w:rsid w:val="565F5B54"/>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E1FFE"/>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31DA0"/>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531FEA"/>
    <w:rsid w:val="6E680A74"/>
    <w:rsid w:val="6E9C4620"/>
    <w:rsid w:val="6EAE5F1D"/>
    <w:rsid w:val="6EE82732"/>
    <w:rsid w:val="6EEB2B8B"/>
    <w:rsid w:val="6EF015E7"/>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336AC7"/>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7A3300"/>
    <w:rsid w:val="7481099D"/>
    <w:rsid w:val="74856120"/>
    <w:rsid w:val="748A4B39"/>
    <w:rsid w:val="748E118B"/>
    <w:rsid w:val="74B57A32"/>
    <w:rsid w:val="74D231DB"/>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AD4830"/>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4E5B9F"/>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16787</Words>
  <Characters>18184</Characters>
  <Lines>166</Lines>
  <Paragraphs>46</Paragraphs>
  <TotalTime>22</TotalTime>
  <ScaleCrop>false</ScaleCrop>
  <LinksUpToDate>false</LinksUpToDate>
  <CharactersWithSpaces>18680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2022-07-11T01:20:58Z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E228C9FAD4514C9FBD60B28EA79ABF59</vt:lpwstr>
  </property>
</Properties>
</file>