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lang w:val="en-US" w:eastAsia="zh-CN"/>
        </w:rPr>
        <w:t>11.21重型清障拖车</w:t>
      </w:r>
      <w:r>
        <w:rPr>
          <w:rFonts w:hint="eastAsia" w:ascii="方正粗黑宋简体" w:hAnsi="方正粗黑宋简体" w:eastAsia="方正粗黑宋简体" w:cs="宋体"/>
          <w:b/>
          <w:bCs/>
          <w:color w:val="auto"/>
          <w:sz w:val="44"/>
          <w:szCs w:val="44"/>
        </w:rPr>
        <w:t>采购</w:t>
      </w:r>
      <w:r>
        <w:rPr>
          <w:rFonts w:hint="eastAsia" w:ascii="方正粗黑宋简体" w:hAnsi="方正粗黑宋简体" w:eastAsia="方正粗黑宋简体" w:cs="宋体"/>
          <w:b/>
          <w:bCs/>
          <w:color w:val="auto"/>
          <w:sz w:val="44"/>
          <w:szCs w:val="44"/>
          <w:lang w:val="en-US" w:eastAsia="zh-CN"/>
        </w:rPr>
        <w:t>(二次)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11</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 xml:space="preserve"> 21 </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525632585"/>
      <w:bookmarkStart w:id="4" w:name="_Toc24354_WPSOffice_Level2"/>
      <w:bookmarkStart w:id="5" w:name="_Toc12765"/>
      <w:bookmarkStart w:id="6" w:name="_Toc13871"/>
      <w:bookmarkStart w:id="7" w:name="_Toc4489_WPSOffice_Level2"/>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cs="宋体" w:eastAsiaTheme="minorEastAsia"/>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w:t>
      </w:r>
      <w:r>
        <w:rPr>
          <w:rFonts w:hint="eastAsia" w:asciiTheme="minorEastAsia" w:hAnsiTheme="minorEastAsia" w:eastAsiaTheme="minorEastAsia" w:cstheme="minorEastAsia"/>
          <w:b w:val="0"/>
          <w:bCs w:val="0"/>
          <w:sz w:val="21"/>
          <w:szCs w:val="21"/>
          <w:u w:val="single"/>
        </w:rPr>
        <w:t>2022年度安徽交运集团汽车销售有限公司</w:t>
      </w:r>
      <w:r>
        <w:rPr>
          <w:rFonts w:hint="eastAsia" w:asciiTheme="minorEastAsia" w:hAnsiTheme="minorEastAsia" w:eastAsiaTheme="minorEastAsia" w:cstheme="minorEastAsia"/>
          <w:b w:val="0"/>
          <w:bCs w:val="0"/>
          <w:color w:val="auto"/>
          <w:sz w:val="21"/>
          <w:szCs w:val="21"/>
          <w:u w:val="single"/>
          <w:lang w:val="en-US" w:eastAsia="zh-CN"/>
        </w:rPr>
        <w:t>11.</w:t>
      </w:r>
      <w:r>
        <w:rPr>
          <w:rFonts w:hint="eastAsia" w:asciiTheme="minorEastAsia" w:hAnsiTheme="minorEastAsia" w:cstheme="minorEastAsia"/>
          <w:b w:val="0"/>
          <w:bCs w:val="0"/>
          <w:color w:val="auto"/>
          <w:sz w:val="21"/>
          <w:szCs w:val="21"/>
          <w:u w:val="single"/>
          <w:lang w:val="en-US" w:eastAsia="zh-CN"/>
        </w:rPr>
        <w:t>21</w:t>
      </w:r>
      <w:r>
        <w:rPr>
          <w:rFonts w:hint="eastAsia" w:asciiTheme="minorEastAsia" w:hAnsiTheme="minorEastAsia" w:eastAsiaTheme="minorEastAsia" w:cstheme="minorEastAsia"/>
          <w:b w:val="0"/>
          <w:bCs w:val="0"/>
          <w:color w:val="auto"/>
          <w:sz w:val="21"/>
          <w:szCs w:val="21"/>
          <w:u w:val="single"/>
          <w:lang w:val="en-US" w:eastAsia="zh-CN"/>
        </w:rPr>
        <w:t>重型清障拖车</w:t>
      </w:r>
      <w:r>
        <w:rPr>
          <w:rFonts w:hint="eastAsia" w:asciiTheme="minorEastAsia" w:hAnsiTheme="minorEastAsia" w:eastAsiaTheme="minorEastAsia" w:cstheme="minorEastAsia"/>
          <w:b w:val="0"/>
          <w:bCs w:val="0"/>
          <w:color w:val="auto"/>
          <w:sz w:val="21"/>
          <w:szCs w:val="21"/>
          <w:u w:val="single"/>
        </w:rPr>
        <w:t>采购</w:t>
      </w:r>
      <w:r>
        <w:rPr>
          <w:rFonts w:hint="eastAsia" w:asciiTheme="minorEastAsia" w:hAnsiTheme="minorEastAsia" w:cstheme="minorEastAsia"/>
          <w:b w:val="0"/>
          <w:bCs w:val="0"/>
          <w:color w:val="auto"/>
          <w:sz w:val="21"/>
          <w:szCs w:val="21"/>
          <w:u w:val="single"/>
          <w:lang w:eastAsia="zh-CN"/>
        </w:rPr>
        <w:t>（二次）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重型清障拖车</w:t>
      </w:r>
      <w:r>
        <w:rPr>
          <w:rFonts w:hint="eastAsia" w:ascii="Times New Roman" w:hAnsi="Times New Roman" w:cs="Times New Roman"/>
          <w:szCs w:val="22"/>
          <w:u w:val="single"/>
        </w:rPr>
        <w:t>1台，进一步提升辖段清障救援能力</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8128_WPSOffice_Level2"/>
      <w:bookmarkStart w:id="11" w:name="_Toc10274"/>
      <w:bookmarkStart w:id="12" w:name="_Toc18367_WPSOffice_Level2"/>
      <w:bookmarkStart w:id="13" w:name="_Toc525632586"/>
      <w:bookmarkStart w:id="14" w:name="_Toc18453"/>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szCs w:val="22"/>
          <w:u w:val="single"/>
          <w:lang w:eastAsia="zh-CN"/>
        </w:rPr>
        <w:t>重型清障拖车</w:t>
      </w:r>
      <w:r>
        <w:rPr>
          <w:rFonts w:ascii="Times New Roman" w:hAnsi="Times New Roman" w:cs="Times New Roman"/>
          <w:color w:val="auto"/>
          <w:szCs w:val="22"/>
          <w:u w:val="single"/>
        </w:rPr>
        <w:t>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98</w:t>
      </w:r>
      <w:r>
        <w:rPr>
          <w:rFonts w:hint="eastAsia" w:ascii="Times New Roman" w:hAnsi="Times New Roman" w:cs="Times New Roman"/>
          <w:szCs w:val="22"/>
          <w:u w:val="single"/>
        </w:rPr>
        <w:t>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1622_WPSOffice_Level2"/>
      <w:bookmarkStart w:id="20" w:name="_Toc22379_WPSOffice_Level2"/>
      <w:bookmarkStart w:id="21" w:name="_Toc525632587"/>
      <w:bookmarkStart w:id="22" w:name="_Toc29516_WPSOffice_Level2"/>
      <w:bookmarkStart w:id="23" w:name="_Toc6388"/>
      <w:bookmarkStart w:id="24" w:name="_Toc31673_WPSOffice_Level2"/>
      <w:bookmarkStart w:id="25" w:name="_Toc3714"/>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车辆购置税，销售差价（签订的厂家合同价为中标价--销售差价）检测、排污、照相、上牌等所有</w:t>
      </w:r>
      <w:r>
        <w:rPr>
          <w:rFonts w:hint="eastAsia"/>
          <w:sz w:val="24"/>
          <w:highlight w:val="green"/>
          <w:lang w:eastAsia="zh-CN"/>
        </w:rPr>
        <w:t>相关</w:t>
      </w:r>
      <w:r>
        <w:rPr>
          <w:rFonts w:hint="eastAsia"/>
          <w:sz w:val="24"/>
          <w:highlight w:val="green"/>
        </w:rPr>
        <w:t>费用，商业保险（含交强险、车损险（≥车价）、第三者责任险(</w:t>
      </w:r>
      <w:r>
        <w:rPr>
          <w:rFonts w:hint="eastAsia"/>
          <w:sz w:val="24"/>
          <w:highlight w:val="green"/>
          <w:lang w:val="en-US" w:eastAsia="zh-CN"/>
        </w:rPr>
        <w:t>300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11</w:t>
      </w:r>
      <w:r>
        <w:rPr>
          <w:rFonts w:ascii="Times New Roman" w:hAnsi="Times New Roman" w:cs="Times New Roman"/>
          <w:szCs w:val="22"/>
          <w:highlight w:val="green"/>
        </w:rPr>
        <w:t>月</w:t>
      </w:r>
      <w:r>
        <w:rPr>
          <w:rFonts w:hint="eastAsia" w:ascii="Times New Roman" w:hAnsi="Times New Roman" w:cs="Times New Roman"/>
          <w:szCs w:val="22"/>
          <w:highlight w:val="green"/>
          <w:lang w:val="en-US" w:eastAsia="zh-CN"/>
        </w:rPr>
        <w:t>21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szCs w:val="22"/>
          <w:highlight w:val="green"/>
          <w:lang w:eastAsia="zh-CN"/>
        </w:rPr>
        <w:t>全国</w:t>
      </w:r>
      <w:r>
        <w:rPr>
          <w:rFonts w:hint="eastAsia" w:ascii="Times New Roman" w:hAnsi="Times New Roman" w:cs="Times New Roman"/>
          <w:color w:val="auto"/>
          <w:szCs w:val="22"/>
          <w:highlight w:val="green"/>
          <w:lang w:eastAsia="zh-CN"/>
        </w:rPr>
        <w:t>高速系统</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4109_WPSOffice_Level2"/>
      <w:bookmarkStart w:id="28" w:name="_Toc1994"/>
      <w:bookmarkStart w:id="29" w:name="_Toc29452_WPSOffice_Level2"/>
      <w:bookmarkStart w:id="30" w:name="_Toc4751"/>
      <w:bookmarkStart w:id="31" w:name="_Toc2996_WPSOffice_Level2"/>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11</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29</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rPr>
          <w:rFonts w:ascii="Times New Roman" w:hAnsi="Times New Roman" w:cs="Times New Roman" w:eastAsiaTheme="minorEastAsia"/>
          <w:color w:val="auto"/>
          <w:kern w:val="2"/>
          <w:sz w:val="21"/>
          <w:szCs w:val="22"/>
          <w:highlight w:val="green"/>
          <w:lang w:val="en-US" w:eastAsia="zh-CN" w:bidi="ar-SA"/>
        </w:rPr>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11</w:t>
      </w:r>
      <w:r>
        <w:rPr>
          <w:rFonts w:hint="eastAsia" w:ascii="Times New Roman" w:hAnsi="Times New Roman"/>
          <w:color w:val="auto"/>
        </w:rPr>
        <w:t>月</w:t>
      </w:r>
      <w:r>
        <w:rPr>
          <w:rFonts w:hint="eastAsia" w:ascii="Times New Roman" w:hAnsi="Times New Roman"/>
          <w:color w:val="auto"/>
          <w:lang w:val="en-US" w:eastAsia="zh-CN"/>
        </w:rPr>
        <w:t>28</w:t>
      </w:r>
      <w:r>
        <w:rPr>
          <w:rFonts w:hint="eastAsia" w:ascii="Times New Roman" w:hAnsi="Times New Roman"/>
          <w:color w:val="auto"/>
        </w:rPr>
        <w:t>日1</w:t>
      </w:r>
      <w:r>
        <w:rPr>
          <w:rFonts w:hint="eastAsia" w:ascii="Times New Roman" w:hAnsi="Times New Roman"/>
          <w:color w:val="auto"/>
          <w:lang w:val="en-US" w:eastAsia="zh-CN"/>
        </w:rPr>
        <w:t>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321_WPSOffice_Level2"/>
      <w:bookmarkStart w:id="39" w:name="_Toc14943_WPSOffice_Level2"/>
      <w:bookmarkStart w:id="40" w:name="_Toc20572_WPSOffice_Level2"/>
      <w:bookmarkStart w:id="41" w:name="_Toc26829"/>
      <w:bookmarkStart w:id="42" w:name="_Toc52563259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11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21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pStyle w:val="2"/>
      </w:pP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tbl>
      <w:tblPr>
        <w:tblStyle w:val="13"/>
        <w:tblpPr w:leftFromText="180" w:rightFromText="180" w:vertAnchor="text" w:horzAnchor="page" w:tblpXSpec="center" w:tblpY="704"/>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both"/>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76"/>
        <w:gridCol w:w="699"/>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976"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699"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976"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699"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主车品牌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分；国内知名品牌得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11</w:t>
            </w:r>
            <w:r>
              <w:rPr>
                <w:rFonts w:hint="eastAsia"/>
              </w:rPr>
              <w:t>分；在此基础上：</w:t>
            </w:r>
          </w:p>
          <w:p>
            <w:pPr>
              <w:kinsoku w:val="0"/>
              <w:autoSpaceDE w:val="0"/>
              <w:autoSpaceDN w:val="0"/>
              <w:adjustRightInd w:val="0"/>
              <w:spacing w:before="156" w:beforeLines="50" w:line="332" w:lineRule="exact"/>
              <w:rPr>
                <w:rFonts w:ascii="Times New Roman" w:hAnsi="Times New Roman" w:cs="Times New Roman"/>
                <w:szCs w:val="21"/>
              </w:rPr>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9</w:t>
            </w:r>
            <w:r>
              <w:rPr>
                <w:rFonts w:hint="eastAsia"/>
              </w:rPr>
              <w:t>分。非主要技术参数低于询价文件要求的，每项扣2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spacing w:before="156" w:beforeLines="50" w:line="0" w:lineRule="atLeast"/>
              <w:rPr>
                <w:rFonts w:ascii="宋体" w:hAnsi="宋体"/>
                <w:color w:val="auto"/>
                <w:szCs w:val="21"/>
              </w:rPr>
            </w:pPr>
            <w:r>
              <w:rPr>
                <w:rFonts w:hint="eastAsia" w:ascii="宋体" w:hAnsi="宋体"/>
                <w:color w:val="auto"/>
                <w:szCs w:val="21"/>
              </w:rPr>
              <w:t>投标人提供的业绩满足询文件资格要求的，得基本分</w:t>
            </w:r>
            <w:r>
              <w:rPr>
                <w:rFonts w:hint="eastAsia" w:ascii="宋体" w:hAnsi="宋体"/>
                <w:color w:val="auto"/>
                <w:szCs w:val="21"/>
                <w:lang w:val="en-US" w:eastAsia="zh-CN"/>
              </w:rPr>
              <w:t>3</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r>
              <w:rPr>
                <w:rFonts w:ascii="宋体" w:hAnsi="宋体"/>
                <w:szCs w:val="21"/>
              </w:rPr>
              <w:t>投标人或所投设备制造商</w:t>
            </w:r>
            <w:r>
              <w:rPr>
                <w:rFonts w:hint="eastAsia" w:ascii="宋体" w:hAnsi="宋体"/>
                <w:szCs w:val="21"/>
              </w:rPr>
              <w:t>提供的</w:t>
            </w:r>
            <w:r>
              <w:rPr>
                <w:rFonts w:hint="eastAsia" w:ascii="宋体" w:hAnsi="宋体" w:cs="宋体"/>
              </w:rPr>
              <w:t>（</w:t>
            </w:r>
            <w:r>
              <w:rPr>
                <w:rFonts w:ascii="宋体" w:hAnsi="宋体" w:cs="宋体"/>
              </w:rPr>
              <w:t>201</w:t>
            </w:r>
            <w:r>
              <w:rPr>
                <w:rFonts w:hint="eastAsia" w:ascii="宋体" w:hAnsi="宋体" w:cs="宋体"/>
              </w:rPr>
              <w:t>9</w:t>
            </w:r>
            <w:r>
              <w:rPr>
                <w:rFonts w:ascii="宋体" w:hAnsi="宋体" w:cs="宋体"/>
              </w:rPr>
              <w:t>年</w:t>
            </w:r>
            <w:r>
              <w:rPr>
                <w:rFonts w:hint="eastAsia" w:ascii="宋体" w:hAnsi="宋体" w:cs="宋体"/>
                <w:lang w:val="en-US" w:eastAsia="zh-CN"/>
              </w:rPr>
              <w:t>11</w:t>
            </w:r>
            <w:r>
              <w:rPr>
                <w:rFonts w:ascii="宋体" w:hAnsi="宋体" w:cs="宋体"/>
              </w:rPr>
              <w:t>月</w:t>
            </w:r>
            <w:r>
              <w:rPr>
                <w:rFonts w:hint="eastAsia" w:ascii="宋体" w:hAnsi="宋体" w:cs="宋体"/>
                <w:lang w:val="en-US" w:eastAsia="zh-CN"/>
              </w:rPr>
              <w:t>21</w:t>
            </w:r>
            <w:bookmarkStart w:id="169" w:name="_GoBack"/>
            <w:bookmarkEnd w:id="169"/>
            <w:r>
              <w:rPr>
                <w:rFonts w:ascii="宋体" w:hAnsi="宋体" w:cs="宋体"/>
              </w:rPr>
              <w:t>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lang w:eastAsia="zh-CN"/>
              </w:rPr>
              <w:t>全国高速系统内每增加</w:t>
            </w:r>
            <w:r>
              <w:rPr>
                <w:rFonts w:hint="eastAsia" w:ascii="宋体" w:hAnsi="宋体"/>
                <w:color w:val="auto"/>
                <w:szCs w:val="21"/>
                <w:lang w:val="en-US" w:eastAsia="zh-CN"/>
              </w:rPr>
              <w:t>3</w:t>
            </w:r>
            <w:r>
              <w:rPr>
                <w:rFonts w:hint="eastAsia" w:ascii="宋体" w:hAnsi="宋体"/>
                <w:color w:val="auto"/>
                <w:szCs w:val="21"/>
              </w:rPr>
              <w:t>台加</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，本项满分</w:t>
            </w:r>
            <w:r>
              <w:rPr>
                <w:rFonts w:hint="eastAsia" w:ascii="宋体" w:hAnsi="宋体"/>
                <w:color w:val="auto"/>
                <w:szCs w:val="21"/>
                <w:lang w:val="en-US" w:eastAsia="zh-CN"/>
              </w:rPr>
              <w:t>5分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numPr>
                <w:ilvl w:val="0"/>
                <w:numId w:val="3"/>
              </w:numPr>
              <w:adjustRightInd w:val="0"/>
              <w:snapToGrid w:val="0"/>
              <w:spacing w:line="276" w:lineRule="auto"/>
              <w:rPr>
                <w:rFonts w:hint="eastAsia"/>
                <w:lang w:val="en-US" w:eastAsia="zh-CN"/>
              </w:rPr>
            </w:pPr>
            <w:r>
              <w:rPr>
                <w:rFonts w:hint="eastAsia"/>
              </w:rPr>
              <w:t>所投标设备的制造企业具备质量、环境、职业健康安全管理体系</w:t>
            </w:r>
            <w:r>
              <w:rPr>
                <w:rFonts w:hint="eastAsia"/>
                <w:lang w:val="en-US" w:eastAsia="zh-CN"/>
              </w:rPr>
              <w:t>的</w:t>
            </w:r>
            <w:r>
              <w:rPr>
                <w:rFonts w:hint="eastAsia"/>
              </w:rPr>
              <w:t>加</w:t>
            </w:r>
            <w:r>
              <w:rPr>
                <w:rFonts w:hint="eastAsia"/>
                <w:lang w:val="en-US" w:eastAsia="zh-CN"/>
              </w:rPr>
              <w:t>1</w:t>
            </w:r>
            <w:r>
              <w:rPr>
                <w:rFonts w:hint="eastAsia"/>
              </w:rPr>
              <w:t>分，本项最高得</w:t>
            </w:r>
            <w:r>
              <w:rPr>
                <w:rFonts w:hint="eastAsia"/>
                <w:lang w:val="en-US" w:eastAsia="zh-CN"/>
              </w:rPr>
              <w:t>1</w:t>
            </w:r>
            <w:r>
              <w:rPr>
                <w:rFonts w:hint="eastAsia"/>
              </w:rPr>
              <w:t>分</w:t>
            </w:r>
            <w:r>
              <w:rPr>
                <w:rFonts w:hint="eastAsia"/>
                <w:lang w:val="en-US" w:eastAsia="zh-CN"/>
              </w:rPr>
              <w:t xml:space="preserve">.  </w:t>
            </w:r>
          </w:p>
          <w:p>
            <w:pPr>
              <w:pStyle w:val="2"/>
              <w:numPr>
                <w:ilvl w:val="0"/>
                <w:numId w:val="3"/>
              </w:numPr>
              <w:rPr>
                <w:rFonts w:hint="eastAsia"/>
                <w:lang w:val="en-US" w:eastAsia="zh-CN"/>
              </w:rPr>
            </w:pP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国家科技进步奖 2分；省级科技进步奖得1分；本项最高得2分。</w:t>
            </w:r>
          </w:p>
          <w:p>
            <w:pPr>
              <w:keepNext w:val="0"/>
              <w:keepLines w:val="0"/>
              <w:widowControl/>
              <w:numPr>
                <w:ilvl w:val="0"/>
                <w:numId w:val="0"/>
              </w:numPr>
              <w:suppressLineNumbers w:val="0"/>
              <w:ind w:leftChars="0"/>
              <w:jc w:val="left"/>
              <w:rPr>
                <w:rFonts w:hint="eastAsia"/>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国家质量奖 2分；省级质量奖得1分；</w:t>
            </w:r>
            <w:r>
              <w:rPr>
                <w:rFonts w:hint="eastAsia" w:ascii="Times New Roman" w:hAnsi="Times New Roman" w:eastAsia="宋体" w:cs="Times New Roman"/>
                <w:szCs w:val="21"/>
              </w:rPr>
              <w:t>本项最高得</w:t>
            </w: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分</w:t>
            </w:r>
            <w:r>
              <w:rPr>
                <w:rFonts w:hint="eastAsia" w:ascii="Times New Roman" w:hAnsi="Times New Roman" w:eastAsia="宋体" w:cs="Times New Roman"/>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,最高加3分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976"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699"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42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w:t>
      </w:r>
      <w:r>
        <w:rPr>
          <w:rFonts w:hint="eastAsia" w:ascii="宋体" w:hAnsi="宋体" w:eastAsia="宋体" w:cs="宋体"/>
          <w:b/>
          <w:bCs/>
          <w:color w:val="auto"/>
          <w:sz w:val="28"/>
          <w:highlight w:val="none"/>
          <w:lang w:eastAsia="zh-CN"/>
        </w:rPr>
        <w:t>旋</w:t>
      </w:r>
      <w:r>
        <w:rPr>
          <w:rFonts w:hint="eastAsia" w:ascii="宋体" w:hAnsi="宋体" w:eastAsia="宋体" w:cs="宋体"/>
          <w:b/>
          <w:bCs/>
          <w:color w:val="auto"/>
          <w:sz w:val="28"/>
          <w:highlight w:val="none"/>
          <w:lang w:val="en-US" w:eastAsia="zh-CN"/>
        </w:rPr>
        <w:t>转吊臂清障车</w:t>
      </w:r>
      <w:r>
        <w:rPr>
          <w:rFonts w:hint="eastAsia" w:ascii="宋体" w:hAnsi="宋体" w:eastAsia="宋体" w:cs="宋体"/>
          <w:b/>
          <w:bCs/>
          <w:color w:val="auto"/>
          <w:sz w:val="28"/>
          <w:highlight w:val="none"/>
        </w:rPr>
        <w:t>设备选型、技术指标一览表》</w:t>
      </w:r>
    </w:p>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2579"/>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72"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序号</w:t>
            </w:r>
          </w:p>
        </w:tc>
        <w:tc>
          <w:tcPr>
            <w:tcW w:w="2579"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项目</w:t>
            </w:r>
          </w:p>
        </w:tc>
        <w:tc>
          <w:tcPr>
            <w:tcW w:w="5335"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bCs/>
                <w:color w:val="auto"/>
                <w:kern w:val="0"/>
                <w:sz w:val="21"/>
                <w:szCs w:val="21"/>
                <w:highlight w:val="none"/>
              </w:rPr>
              <w:t>买方技术参数要求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供货范围</w:t>
            </w:r>
          </w:p>
        </w:tc>
        <w:tc>
          <w:tcPr>
            <w:tcW w:w="533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主车、专用工具、运输和保险及验收、相关技术服务、上牌、交相关税费、上保险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r>
              <w:rPr>
                <w:rFonts w:hint="eastAsia" w:ascii="宋体" w:hAnsi="宋体" w:eastAsia="宋体" w:cs="宋体"/>
                <w:color w:val="auto"/>
                <w:sz w:val="21"/>
                <w:szCs w:val="21"/>
                <w:highlight w:val="none"/>
                <w:lang w:val="en-US" w:eastAsia="zh-CN"/>
              </w:rPr>
              <w:t>336</w:t>
            </w:r>
            <w:r>
              <w:rPr>
                <w:rFonts w:hint="eastAsia" w:ascii="宋体" w:hAnsi="宋体" w:eastAsia="宋体" w:cs="宋体"/>
                <w:color w:val="auto"/>
                <w:sz w:val="21"/>
                <w:szCs w:val="21"/>
                <w:highlight w:val="none"/>
              </w:rPr>
              <w:t>，排放标准国</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驱动形式为≥8×4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最高车速</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（KM/h)≥</w:t>
            </w:r>
            <w:r>
              <w:rPr>
                <w:rFonts w:hint="eastAsia" w:ascii="宋体" w:hAnsi="宋体" w:eastAsia="宋体" w:cs="宋体"/>
                <w:color w:val="auto"/>
                <w:sz w:val="21"/>
                <w:szCs w:val="21"/>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*轴距（mm）</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00+45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w:t>
            </w:r>
            <w:r>
              <w:rPr>
                <w:rFonts w:hint="eastAsia" w:ascii="宋体" w:hAnsi="宋体" w:eastAsia="宋体" w:cs="宋体"/>
                <w:color w:val="auto"/>
                <w:sz w:val="21"/>
                <w:szCs w:val="21"/>
                <w:highlight w:val="none"/>
                <w:lang w:val="en-US" w:eastAsia="zh-CN"/>
              </w:rPr>
              <w:t>及备胎</w:t>
            </w:r>
            <w:r>
              <w:rPr>
                <w:rFonts w:hint="eastAsia" w:ascii="宋体" w:hAnsi="宋体" w:eastAsia="宋体" w:cs="宋体"/>
                <w:color w:val="auto"/>
                <w:sz w:val="21"/>
                <w:szCs w:val="21"/>
                <w:highlight w:val="none"/>
              </w:rPr>
              <w:t>规格</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全钢丝子午线12.00R20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外廓尺寸</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长×宽×高（mm）：≥</w:t>
            </w:r>
            <w:r>
              <w:rPr>
                <w:rFonts w:hint="eastAsia" w:ascii="宋体" w:hAnsi="宋体" w:eastAsia="宋体" w:cs="宋体"/>
                <w:color w:val="auto"/>
                <w:sz w:val="21"/>
                <w:szCs w:val="21"/>
                <w:highlight w:val="none"/>
                <w:lang w:val="en-US" w:eastAsia="zh-CN"/>
              </w:rPr>
              <w:t>11000</w:t>
            </w:r>
            <w:r>
              <w:rPr>
                <w:rFonts w:hint="eastAsia" w:ascii="宋体" w:hAnsi="宋体" w:eastAsia="宋体" w:cs="宋体"/>
                <w:color w:val="auto"/>
                <w:sz w:val="21"/>
                <w:szCs w:val="21"/>
                <w:highlight w:val="none"/>
              </w:rPr>
              <w:t>×2500×3400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上装形式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旋转吊臂</w:t>
            </w:r>
            <w:r>
              <w:rPr>
                <w:rFonts w:hint="eastAsia" w:ascii="宋体" w:hAnsi="宋体" w:eastAsia="宋体" w:cs="宋体"/>
                <w:color w:val="auto"/>
                <w:sz w:val="21"/>
                <w:szCs w:val="21"/>
                <w:highlight w:val="none"/>
              </w:rPr>
              <w:t>（上装系统吨位加大）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*最大托牵质量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*最大托举质量</w:t>
            </w:r>
            <w:r>
              <w:rPr>
                <w:rFonts w:hint="eastAsia" w:ascii="宋体" w:hAnsi="宋体" w:eastAsia="宋体" w:cs="宋体"/>
                <w:color w:val="auto"/>
                <w:kern w:val="2"/>
                <w:sz w:val="21"/>
                <w:szCs w:val="21"/>
                <w:highlight w:val="none"/>
              </w:rPr>
              <w:t>（上装/整车）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16000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val="en-US" w:eastAsia="zh-CN"/>
              </w:rPr>
              <w:t>/10450kg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托臂最大有效长度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托臂全伸出最大托举质量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全伸出托叉口离地最大距离</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托臂带载</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*最大起重质量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*吊臂节数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吊臂基本长度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油缸</w:t>
            </w:r>
            <w:r>
              <w:rPr>
                <w:rFonts w:hint="eastAsia" w:ascii="宋体" w:hAnsi="宋体" w:eastAsia="宋体" w:cs="宋体"/>
                <w:color w:val="auto"/>
                <w:kern w:val="2"/>
                <w:sz w:val="21"/>
                <w:szCs w:val="21"/>
                <w:highlight w:val="none"/>
              </w:rPr>
              <w:t>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5420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旋转角度</w:t>
            </w:r>
          </w:p>
        </w:tc>
        <w:tc>
          <w:tcPr>
            <w:tcW w:w="5335"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绞盘数量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钢丝绳长度</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钢丝绳直径</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钢丝绳最小线速度（m/min）</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卷扬机额定牵引力</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0×2KN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最大起吊高度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最大作业半径</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数量（个）</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支腿</w:t>
            </w:r>
            <w:r>
              <w:rPr>
                <w:rFonts w:hint="eastAsia" w:ascii="宋体" w:hAnsi="宋体" w:eastAsia="宋体" w:cs="宋体"/>
                <w:color w:val="auto"/>
                <w:sz w:val="21"/>
                <w:szCs w:val="21"/>
                <w:highlight w:val="none"/>
                <w:lang w:val="en-US" w:eastAsia="zh-CN"/>
              </w:rPr>
              <w:t>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后支腿横向跨距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前、后支腿纵向跨距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3"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2579" w:type="dxa"/>
            <w:noWrap w:val="0"/>
            <w:vAlign w:val="center"/>
          </w:tcPr>
          <w:p>
            <w:pPr>
              <w:autoSpaceDE w:val="0"/>
              <w:autoSpaceDN w:val="0"/>
              <w:adjustRightInd w:val="0"/>
              <w:ind w:right="-815" w:rightChars="-388"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车身颜色为工程黄色，车身采用整体式、全钢、防锈、抗扭、加固车身；驾驶室内应有收音机等设备，带冷暖空调，座位：≥2；带助力转向装置等。</w:t>
            </w:r>
          </w:p>
          <w:p>
            <w:pPr>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无线控制器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（2）加高托叉座一对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（3）拖叉座一对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（4）拖叉（大小）四对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（5）拖叉（拖弹簧钢板用）一对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（6）链钩总成二条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（7）辅助灯总成一套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（8）辅助制动气管(15m)一套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（9）索具（两端带羊角抓钩）</w:t>
            </w:r>
            <w:r>
              <w:rPr>
                <w:rFonts w:hint="eastAsia" w:ascii="宋体" w:hAnsi="宋体" w:eastAsia="宋体" w:cs="宋体"/>
                <w:color w:val="auto"/>
                <w:sz w:val="21"/>
                <w:szCs w:val="21"/>
                <w:highlight w:val="none"/>
                <w:lang w:val="en-US" w:eastAsia="zh-CN"/>
              </w:rPr>
              <w:t>二件；（10）</w:t>
            </w:r>
            <w:r>
              <w:rPr>
                <w:rFonts w:hint="eastAsia" w:ascii="宋体" w:hAnsi="宋体" w:eastAsia="宋体" w:cs="宋体"/>
                <w:color w:val="auto"/>
                <w:sz w:val="21"/>
                <w:szCs w:val="21"/>
                <w:highlight w:val="none"/>
              </w:rPr>
              <w:t>销轴</w:t>
            </w:r>
            <w:r>
              <w:rPr>
                <w:rFonts w:hint="eastAsia" w:ascii="宋体" w:hAnsi="宋体" w:eastAsia="宋体" w:cs="宋体"/>
                <w:color w:val="auto"/>
                <w:sz w:val="21"/>
                <w:szCs w:val="21"/>
                <w:highlight w:val="none"/>
                <w:lang w:val="en-US" w:eastAsia="zh-CN"/>
              </w:rPr>
              <w:t>四件；（11）1.5m工程黄警灯；（12）200w以上功率（含200w）警报器。</w:t>
            </w:r>
          </w:p>
          <w:p>
            <w:pPr>
              <w:ind w:firstLine="420" w:firstLineChars="200"/>
              <w:jc w:val="left"/>
              <w:rPr>
                <w:rFonts w:hint="eastAsia" w:ascii="Times New Roman" w:hAnsi="Times New Roman" w:eastAsia="宋体" w:cs="Times New Roman"/>
                <w:color w:val="auto"/>
                <w:sz w:val="21"/>
                <w:szCs w:val="22"/>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sz w:val="21"/>
                <w:szCs w:val="22"/>
                <w:highlight w:val="none"/>
                <w:lang w:val="en-US" w:eastAsia="zh-CN"/>
              </w:rPr>
              <w:t>车辆上牌工作由供</w:t>
            </w:r>
            <w:r>
              <w:rPr>
                <w:rFonts w:hint="eastAsia" w:ascii="Times New Roman" w:hAnsi="Times New Roman" w:cs="Times New Roman"/>
                <w:color w:val="auto"/>
                <w:sz w:val="21"/>
                <w:szCs w:val="22"/>
                <w:highlight w:val="none"/>
                <w:lang w:val="en-US" w:eastAsia="zh-CN"/>
              </w:rPr>
              <w:t>应</w:t>
            </w:r>
            <w:r>
              <w:rPr>
                <w:rFonts w:hint="eastAsia" w:ascii="Times New Roman" w:hAnsi="Times New Roman" w:eastAsia="宋体" w:cs="Times New Roman"/>
                <w:color w:val="auto"/>
                <w:sz w:val="21"/>
                <w:szCs w:val="22"/>
                <w:highlight w:val="none"/>
                <w:lang w:val="en-US" w:eastAsia="zh-CN"/>
              </w:rPr>
              <w:t>商办理，上牌地点</w:t>
            </w:r>
            <w:r>
              <w:rPr>
                <w:rFonts w:hint="eastAsia" w:ascii="Times New Roman" w:hAnsi="Times New Roman" w:cs="Times New Roman"/>
                <w:color w:val="auto"/>
                <w:sz w:val="21"/>
                <w:szCs w:val="22"/>
                <w:highlight w:val="none"/>
                <w:lang w:val="en-US" w:eastAsia="zh-CN"/>
              </w:rPr>
              <w:t>合肥市</w:t>
            </w:r>
            <w:r>
              <w:rPr>
                <w:rFonts w:hint="eastAsia" w:ascii="Times New Roman" w:hAnsi="Times New Roman" w:eastAsia="宋体" w:cs="Times New Roman"/>
                <w:color w:val="auto"/>
                <w:sz w:val="21"/>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2"/>
                <w:highlight w:val="none"/>
                <w:lang w:val="en-US" w:eastAsia="zh-CN"/>
              </w:rPr>
              <w:t>4、</w:t>
            </w:r>
            <w:r>
              <w:rPr>
                <w:rFonts w:hint="eastAsia" w:ascii="Times New Roman" w:hAnsi="Times New Roman" w:cs="Times New Roman"/>
                <w:color w:val="auto"/>
                <w:sz w:val="21"/>
                <w:szCs w:val="21"/>
                <w:highlight w:val="none"/>
                <w:lang w:val="en-US" w:eastAsia="zh-CN"/>
              </w:rPr>
              <w:t>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保险（强制险、第三方不少于200万、车损险等）、安装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tc>
      </w:tr>
    </w:tbl>
    <w:p>
      <w:pPr>
        <w:pStyle w:val="2"/>
        <w:rPr>
          <w:rFonts w:ascii="Times New Roman" w:hAnsi="Times New Roman" w:cs="Times New Roman"/>
          <w:szCs w:val="21"/>
        </w:rPr>
      </w:pPr>
    </w:p>
    <w:p>
      <w:pPr>
        <w:pStyle w:val="2"/>
        <w:rPr>
          <w:rFonts w:ascii="Times New Roman" w:hAnsi="Times New Roman" w:cs="Times New Roman"/>
          <w:szCs w:val="21"/>
        </w:rPr>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5"/>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4"/>
              </w:rPr>
            </w:pPr>
            <w:r>
              <w:rPr>
                <w:rFonts w:hint="eastAsia" w:ascii="宋体" w:hAnsi="宋体" w:eastAsia="宋体" w:cs="宋体"/>
                <w:bCs/>
                <w:kern w:val="2"/>
                <w:sz w:val="24"/>
                <w:szCs w:val="24"/>
                <w:lang w:val="en-US" w:eastAsia="zh-CN" w:bidi="ar-SA"/>
              </w:rPr>
              <w:t>旋转吊臂清障车</w:t>
            </w: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509" w:type="dxa"/>
            <w:vAlign w:val="center"/>
          </w:tcPr>
          <w:p>
            <w:pPr>
              <w:widowControl/>
              <w:jc w:val="center"/>
              <w:textAlignment w:val="center"/>
              <w:rPr>
                <w:rFonts w:ascii="宋体" w:hAnsi="宋体" w:eastAsia="宋体" w:cs="宋体"/>
                <w:sz w:val="24"/>
              </w:rPr>
            </w:pP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540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6"/>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6"/>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bl>
    <w:p>
      <w:pPr>
        <w:pStyle w:val="2"/>
        <w:jc w:val="center"/>
        <w:rPr>
          <w:rFonts w:ascii="黑体" w:hAnsi="黑体" w:eastAsia="黑体" w:cs="黑体"/>
          <w:sz w:val="28"/>
          <w:szCs w:val="28"/>
        </w:rPr>
      </w:pPr>
    </w:p>
    <w:p>
      <w:pPr>
        <w:pStyle w:val="37"/>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2"/>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79963FF"/>
    <w:multiLevelType w:val="singleLevel"/>
    <w:tmpl w:val="A79963FF"/>
    <w:lvl w:ilvl="0" w:tentative="0">
      <w:start w:val="1"/>
      <w:numFmt w:val="decimal"/>
      <w:suff w:val="nothing"/>
      <w:lvlText w:val="%1、"/>
      <w:lvlJc w:val="left"/>
    </w:lvl>
  </w:abstractNum>
  <w:abstractNum w:abstractNumId="3">
    <w:nsid w:val="AE2607CB"/>
    <w:multiLevelType w:val="singleLevel"/>
    <w:tmpl w:val="AE2607CB"/>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56AB4"/>
    <w:rsid w:val="0637658C"/>
    <w:rsid w:val="06420BE5"/>
    <w:rsid w:val="064F44F5"/>
    <w:rsid w:val="06750697"/>
    <w:rsid w:val="067B57E2"/>
    <w:rsid w:val="069B3C00"/>
    <w:rsid w:val="06CA1760"/>
    <w:rsid w:val="06ED25DE"/>
    <w:rsid w:val="06F57E5E"/>
    <w:rsid w:val="06FA2BAB"/>
    <w:rsid w:val="07085527"/>
    <w:rsid w:val="073A3426"/>
    <w:rsid w:val="0757367C"/>
    <w:rsid w:val="07595CAC"/>
    <w:rsid w:val="076F25A8"/>
    <w:rsid w:val="077508BA"/>
    <w:rsid w:val="07884F20"/>
    <w:rsid w:val="079543F1"/>
    <w:rsid w:val="07A10C59"/>
    <w:rsid w:val="07A45C35"/>
    <w:rsid w:val="07AE059C"/>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854A24"/>
    <w:rsid w:val="0C871385"/>
    <w:rsid w:val="0C932008"/>
    <w:rsid w:val="0C954935"/>
    <w:rsid w:val="0C9E6EE9"/>
    <w:rsid w:val="0CEE2538"/>
    <w:rsid w:val="0CFF356B"/>
    <w:rsid w:val="0D1C692C"/>
    <w:rsid w:val="0D1F7FB3"/>
    <w:rsid w:val="0D235F12"/>
    <w:rsid w:val="0D371527"/>
    <w:rsid w:val="0D421699"/>
    <w:rsid w:val="0D491784"/>
    <w:rsid w:val="0D903958"/>
    <w:rsid w:val="0DA10224"/>
    <w:rsid w:val="0DBC5FD9"/>
    <w:rsid w:val="0DBF7526"/>
    <w:rsid w:val="0DD8176C"/>
    <w:rsid w:val="0DE17D3B"/>
    <w:rsid w:val="0DE55C13"/>
    <w:rsid w:val="0DEA2CBC"/>
    <w:rsid w:val="0DFF4F4B"/>
    <w:rsid w:val="0E353D12"/>
    <w:rsid w:val="0E3766AA"/>
    <w:rsid w:val="0E3C6E1E"/>
    <w:rsid w:val="0E421045"/>
    <w:rsid w:val="0E5617C7"/>
    <w:rsid w:val="0E5B2709"/>
    <w:rsid w:val="0E617FB2"/>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CC7A5D"/>
    <w:rsid w:val="0FDB62B2"/>
    <w:rsid w:val="0FE0087A"/>
    <w:rsid w:val="100A243A"/>
    <w:rsid w:val="1015385D"/>
    <w:rsid w:val="10406357"/>
    <w:rsid w:val="1055158F"/>
    <w:rsid w:val="10637A13"/>
    <w:rsid w:val="107348E1"/>
    <w:rsid w:val="107B36EC"/>
    <w:rsid w:val="107D3033"/>
    <w:rsid w:val="107E65FB"/>
    <w:rsid w:val="108E3098"/>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524026"/>
    <w:rsid w:val="146A70C1"/>
    <w:rsid w:val="14980C4A"/>
    <w:rsid w:val="14980E16"/>
    <w:rsid w:val="1498179F"/>
    <w:rsid w:val="14BA42FD"/>
    <w:rsid w:val="14C50C9C"/>
    <w:rsid w:val="14DC7DC8"/>
    <w:rsid w:val="14E01A95"/>
    <w:rsid w:val="15005A0B"/>
    <w:rsid w:val="150A1554"/>
    <w:rsid w:val="150F3CC6"/>
    <w:rsid w:val="153122C9"/>
    <w:rsid w:val="154F540A"/>
    <w:rsid w:val="155319D5"/>
    <w:rsid w:val="156752D2"/>
    <w:rsid w:val="157D0B57"/>
    <w:rsid w:val="157D5ACE"/>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F65054"/>
    <w:rsid w:val="17F9165D"/>
    <w:rsid w:val="17FD5CFB"/>
    <w:rsid w:val="181C5AFE"/>
    <w:rsid w:val="18262728"/>
    <w:rsid w:val="18276115"/>
    <w:rsid w:val="18555ABF"/>
    <w:rsid w:val="185F31B6"/>
    <w:rsid w:val="189B41AF"/>
    <w:rsid w:val="18F85CC5"/>
    <w:rsid w:val="190D2C12"/>
    <w:rsid w:val="19161B44"/>
    <w:rsid w:val="1943613C"/>
    <w:rsid w:val="19845FA1"/>
    <w:rsid w:val="19854A2E"/>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542B7"/>
    <w:rsid w:val="1C4E3A72"/>
    <w:rsid w:val="1C591E3C"/>
    <w:rsid w:val="1C5A6DF2"/>
    <w:rsid w:val="1C8702AB"/>
    <w:rsid w:val="1CAD29F5"/>
    <w:rsid w:val="1CD04682"/>
    <w:rsid w:val="1CD35F20"/>
    <w:rsid w:val="1CDE2D4A"/>
    <w:rsid w:val="1CDF3C59"/>
    <w:rsid w:val="1CE41B29"/>
    <w:rsid w:val="1CF6219E"/>
    <w:rsid w:val="1D011989"/>
    <w:rsid w:val="1D0B1D24"/>
    <w:rsid w:val="1D1C4C9A"/>
    <w:rsid w:val="1D2C0C7A"/>
    <w:rsid w:val="1D3971A4"/>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2870CC"/>
    <w:rsid w:val="1F382298"/>
    <w:rsid w:val="1F4C5B16"/>
    <w:rsid w:val="1F6B6469"/>
    <w:rsid w:val="1F837870"/>
    <w:rsid w:val="1F84184E"/>
    <w:rsid w:val="1F8841C9"/>
    <w:rsid w:val="1F942DC6"/>
    <w:rsid w:val="1F9F5217"/>
    <w:rsid w:val="1F9F7B9A"/>
    <w:rsid w:val="1FC653B9"/>
    <w:rsid w:val="1FC830F6"/>
    <w:rsid w:val="1FCB7383"/>
    <w:rsid w:val="1FFD5491"/>
    <w:rsid w:val="1FFF49B3"/>
    <w:rsid w:val="20085EE1"/>
    <w:rsid w:val="200A49DA"/>
    <w:rsid w:val="2010615E"/>
    <w:rsid w:val="2020147D"/>
    <w:rsid w:val="202E73DC"/>
    <w:rsid w:val="20350D4E"/>
    <w:rsid w:val="20580C17"/>
    <w:rsid w:val="205B3A40"/>
    <w:rsid w:val="207C19DD"/>
    <w:rsid w:val="209A4709"/>
    <w:rsid w:val="20A32AD4"/>
    <w:rsid w:val="20A83190"/>
    <w:rsid w:val="20B120D5"/>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9A29C0"/>
    <w:rsid w:val="24A26904"/>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F5371"/>
    <w:rsid w:val="27897256"/>
    <w:rsid w:val="279E6A72"/>
    <w:rsid w:val="27A22B9A"/>
    <w:rsid w:val="27AE736E"/>
    <w:rsid w:val="27BA7541"/>
    <w:rsid w:val="27CC5A46"/>
    <w:rsid w:val="27E17707"/>
    <w:rsid w:val="2832016E"/>
    <w:rsid w:val="28332E82"/>
    <w:rsid w:val="28356224"/>
    <w:rsid w:val="285A280E"/>
    <w:rsid w:val="287B23EA"/>
    <w:rsid w:val="28945AD5"/>
    <w:rsid w:val="28A17421"/>
    <w:rsid w:val="28CB2405"/>
    <w:rsid w:val="28CC65CA"/>
    <w:rsid w:val="28E4564A"/>
    <w:rsid w:val="28FD4C25"/>
    <w:rsid w:val="29121767"/>
    <w:rsid w:val="293529A7"/>
    <w:rsid w:val="294549B1"/>
    <w:rsid w:val="29890093"/>
    <w:rsid w:val="298E4667"/>
    <w:rsid w:val="299921F9"/>
    <w:rsid w:val="299E263B"/>
    <w:rsid w:val="29AC15DA"/>
    <w:rsid w:val="29C849C9"/>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33B5E"/>
    <w:rsid w:val="2EDC19B7"/>
    <w:rsid w:val="2EED00C8"/>
    <w:rsid w:val="2EF11D09"/>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620D79"/>
    <w:rsid w:val="307716A4"/>
    <w:rsid w:val="30791531"/>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7730B"/>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702AE4"/>
    <w:rsid w:val="377A75FB"/>
    <w:rsid w:val="379940D4"/>
    <w:rsid w:val="37AE4B4F"/>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1F00CC"/>
    <w:rsid w:val="39266477"/>
    <w:rsid w:val="392E59B6"/>
    <w:rsid w:val="39497A4F"/>
    <w:rsid w:val="3952271F"/>
    <w:rsid w:val="39655B7A"/>
    <w:rsid w:val="396D35AB"/>
    <w:rsid w:val="39786167"/>
    <w:rsid w:val="397D063A"/>
    <w:rsid w:val="398F73DC"/>
    <w:rsid w:val="399C65C7"/>
    <w:rsid w:val="39A77FDE"/>
    <w:rsid w:val="39C01BBA"/>
    <w:rsid w:val="39C731AB"/>
    <w:rsid w:val="39FE2850"/>
    <w:rsid w:val="3A085BAA"/>
    <w:rsid w:val="3A185D33"/>
    <w:rsid w:val="3A2C2104"/>
    <w:rsid w:val="3A967177"/>
    <w:rsid w:val="3A9D43B8"/>
    <w:rsid w:val="3AB3450A"/>
    <w:rsid w:val="3AB73885"/>
    <w:rsid w:val="3AD155B7"/>
    <w:rsid w:val="3AD41A3C"/>
    <w:rsid w:val="3AED668F"/>
    <w:rsid w:val="3AF07408"/>
    <w:rsid w:val="3AFA4DDD"/>
    <w:rsid w:val="3B0A6C0E"/>
    <w:rsid w:val="3B2D1CE0"/>
    <w:rsid w:val="3B2E1991"/>
    <w:rsid w:val="3B41700C"/>
    <w:rsid w:val="3B4336D5"/>
    <w:rsid w:val="3B862458"/>
    <w:rsid w:val="3B8F4DF4"/>
    <w:rsid w:val="3B915C89"/>
    <w:rsid w:val="3B9C1EA7"/>
    <w:rsid w:val="3BB15227"/>
    <w:rsid w:val="3BBE774B"/>
    <w:rsid w:val="3BCA36FC"/>
    <w:rsid w:val="3BD60C4D"/>
    <w:rsid w:val="3BDB75C3"/>
    <w:rsid w:val="3BEB24E7"/>
    <w:rsid w:val="3BF13876"/>
    <w:rsid w:val="3BFB140F"/>
    <w:rsid w:val="3C017C80"/>
    <w:rsid w:val="3C410359"/>
    <w:rsid w:val="3C6B2863"/>
    <w:rsid w:val="3C7E046A"/>
    <w:rsid w:val="3CA2060D"/>
    <w:rsid w:val="3CC669C0"/>
    <w:rsid w:val="3CC66AB0"/>
    <w:rsid w:val="3CC742EA"/>
    <w:rsid w:val="3CCC78C1"/>
    <w:rsid w:val="3D191420"/>
    <w:rsid w:val="3D4729E2"/>
    <w:rsid w:val="3D870377"/>
    <w:rsid w:val="3DAA0180"/>
    <w:rsid w:val="3DB644C5"/>
    <w:rsid w:val="3DBA3955"/>
    <w:rsid w:val="3DC64303"/>
    <w:rsid w:val="3DFB09DB"/>
    <w:rsid w:val="3DFD18E3"/>
    <w:rsid w:val="3E234CC4"/>
    <w:rsid w:val="3E321A01"/>
    <w:rsid w:val="3E3454D4"/>
    <w:rsid w:val="3E430296"/>
    <w:rsid w:val="3E4D4EEA"/>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85EA2"/>
    <w:rsid w:val="3F4F7EC2"/>
    <w:rsid w:val="3F5F4471"/>
    <w:rsid w:val="3F993F04"/>
    <w:rsid w:val="3FA469B6"/>
    <w:rsid w:val="3FA772D9"/>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725710"/>
    <w:rsid w:val="429A6A1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7B279A"/>
    <w:rsid w:val="46854413"/>
    <w:rsid w:val="46AA3BAF"/>
    <w:rsid w:val="46B12C97"/>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801BB"/>
    <w:rsid w:val="4B0938BE"/>
    <w:rsid w:val="4B275ED4"/>
    <w:rsid w:val="4B4E0FC1"/>
    <w:rsid w:val="4B5A11A2"/>
    <w:rsid w:val="4B613829"/>
    <w:rsid w:val="4B7343E0"/>
    <w:rsid w:val="4B7B6C4C"/>
    <w:rsid w:val="4B8143F2"/>
    <w:rsid w:val="4B9565DB"/>
    <w:rsid w:val="4B967555"/>
    <w:rsid w:val="4B9A7A86"/>
    <w:rsid w:val="4BA9289B"/>
    <w:rsid w:val="4BC624A8"/>
    <w:rsid w:val="4BC973E3"/>
    <w:rsid w:val="4BDE5BC4"/>
    <w:rsid w:val="4BED5700"/>
    <w:rsid w:val="4BF54DFA"/>
    <w:rsid w:val="4C25088A"/>
    <w:rsid w:val="4C260C7A"/>
    <w:rsid w:val="4C261319"/>
    <w:rsid w:val="4C272002"/>
    <w:rsid w:val="4C51523E"/>
    <w:rsid w:val="4C6961B4"/>
    <w:rsid w:val="4C7622A1"/>
    <w:rsid w:val="4C9512AC"/>
    <w:rsid w:val="4CBF4CEF"/>
    <w:rsid w:val="4CD314A1"/>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231FB4"/>
    <w:rsid w:val="4E30022D"/>
    <w:rsid w:val="4E4E3891"/>
    <w:rsid w:val="4E7B594C"/>
    <w:rsid w:val="4E7B64C2"/>
    <w:rsid w:val="4E9D1C1C"/>
    <w:rsid w:val="4E9F0C0D"/>
    <w:rsid w:val="4EA75F3A"/>
    <w:rsid w:val="4EAF1CC4"/>
    <w:rsid w:val="4EC3269E"/>
    <w:rsid w:val="4ECD0F01"/>
    <w:rsid w:val="4EEA1762"/>
    <w:rsid w:val="4EEF6771"/>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C95E15"/>
    <w:rsid w:val="50CE2F73"/>
    <w:rsid w:val="50ED0658"/>
    <w:rsid w:val="510D5690"/>
    <w:rsid w:val="512348E8"/>
    <w:rsid w:val="512B60B4"/>
    <w:rsid w:val="513118E7"/>
    <w:rsid w:val="515E2842"/>
    <w:rsid w:val="51694722"/>
    <w:rsid w:val="516C26F5"/>
    <w:rsid w:val="5190720E"/>
    <w:rsid w:val="51A258E6"/>
    <w:rsid w:val="51A96C75"/>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424DE3"/>
    <w:rsid w:val="56873AE9"/>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9116E"/>
    <w:rsid w:val="59633BAD"/>
    <w:rsid w:val="59A71C9E"/>
    <w:rsid w:val="59A76356"/>
    <w:rsid w:val="59CF1242"/>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BB3B43"/>
    <w:rsid w:val="5EE601BA"/>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BC02FE"/>
    <w:rsid w:val="61D740F7"/>
    <w:rsid w:val="6228378C"/>
    <w:rsid w:val="6228683D"/>
    <w:rsid w:val="622D3184"/>
    <w:rsid w:val="625B5CA9"/>
    <w:rsid w:val="62756CE9"/>
    <w:rsid w:val="6294722E"/>
    <w:rsid w:val="62A5470E"/>
    <w:rsid w:val="62E56056"/>
    <w:rsid w:val="63003347"/>
    <w:rsid w:val="63023C14"/>
    <w:rsid w:val="631101D6"/>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84CCC"/>
    <w:rsid w:val="64EF362D"/>
    <w:rsid w:val="64F472AA"/>
    <w:rsid w:val="65047D30"/>
    <w:rsid w:val="650A138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D24120"/>
    <w:rsid w:val="66E83943"/>
    <w:rsid w:val="66ED6329"/>
    <w:rsid w:val="66EF6874"/>
    <w:rsid w:val="66F145A6"/>
    <w:rsid w:val="66F531AA"/>
    <w:rsid w:val="66F608B5"/>
    <w:rsid w:val="66FA66F1"/>
    <w:rsid w:val="67140294"/>
    <w:rsid w:val="6721791E"/>
    <w:rsid w:val="67271ECB"/>
    <w:rsid w:val="672A6B2F"/>
    <w:rsid w:val="67483420"/>
    <w:rsid w:val="674B62AD"/>
    <w:rsid w:val="6777089F"/>
    <w:rsid w:val="67AB0BF9"/>
    <w:rsid w:val="67C43A69"/>
    <w:rsid w:val="67C76B90"/>
    <w:rsid w:val="67D475FA"/>
    <w:rsid w:val="67FB439B"/>
    <w:rsid w:val="67FF4466"/>
    <w:rsid w:val="68011EEA"/>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A7CCF"/>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3944E1"/>
    <w:rsid w:val="71B11E98"/>
    <w:rsid w:val="71B625C8"/>
    <w:rsid w:val="71D04CEB"/>
    <w:rsid w:val="71D4011E"/>
    <w:rsid w:val="71E2790D"/>
    <w:rsid w:val="71EE678E"/>
    <w:rsid w:val="71EF21D9"/>
    <w:rsid w:val="71F83650"/>
    <w:rsid w:val="720E20E5"/>
    <w:rsid w:val="721D22C8"/>
    <w:rsid w:val="723839D1"/>
    <w:rsid w:val="725B76BF"/>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E36DA"/>
    <w:rsid w:val="747A3300"/>
    <w:rsid w:val="7481099D"/>
    <w:rsid w:val="74856120"/>
    <w:rsid w:val="748E118B"/>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B43AFA"/>
    <w:rsid w:val="77C853D2"/>
    <w:rsid w:val="77CB6284"/>
    <w:rsid w:val="77D54C59"/>
    <w:rsid w:val="77D9063B"/>
    <w:rsid w:val="78474B5C"/>
    <w:rsid w:val="7883171E"/>
    <w:rsid w:val="78A82F32"/>
    <w:rsid w:val="78FC7191"/>
    <w:rsid w:val="79072005"/>
    <w:rsid w:val="790F66E7"/>
    <w:rsid w:val="793B3DA7"/>
    <w:rsid w:val="796558AF"/>
    <w:rsid w:val="79714322"/>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AEA7832"/>
    <w:rsid w:val="7B0574E9"/>
    <w:rsid w:val="7B091377"/>
    <w:rsid w:val="7B367327"/>
    <w:rsid w:val="7B5E2AA7"/>
    <w:rsid w:val="7B71168E"/>
    <w:rsid w:val="7B9F046E"/>
    <w:rsid w:val="7BA571A1"/>
    <w:rsid w:val="7BA84BDE"/>
    <w:rsid w:val="7BDA4C3E"/>
    <w:rsid w:val="7BEB499A"/>
    <w:rsid w:val="7BED0D99"/>
    <w:rsid w:val="7BF7759F"/>
    <w:rsid w:val="7C0E5BCD"/>
    <w:rsid w:val="7C1B4A3B"/>
    <w:rsid w:val="7C211D7D"/>
    <w:rsid w:val="7C2E45FA"/>
    <w:rsid w:val="7C366D83"/>
    <w:rsid w:val="7C896BD7"/>
    <w:rsid w:val="7C8B7927"/>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17BD"/>
    <w:rsid w:val="7E2146D8"/>
    <w:rsid w:val="7E3D10ED"/>
    <w:rsid w:val="7E4436FD"/>
    <w:rsid w:val="7E4B2A52"/>
    <w:rsid w:val="7E5C2FAF"/>
    <w:rsid w:val="7E5D1143"/>
    <w:rsid w:val="7E74390A"/>
    <w:rsid w:val="7EA64FD4"/>
    <w:rsid w:val="7EA652E1"/>
    <w:rsid w:val="7EAD4DFF"/>
    <w:rsid w:val="7EAD7C73"/>
    <w:rsid w:val="7EC62B4F"/>
    <w:rsid w:val="7EC8404B"/>
    <w:rsid w:val="7ECF76F0"/>
    <w:rsid w:val="7ED4259F"/>
    <w:rsid w:val="7ED656C1"/>
    <w:rsid w:val="7EEA39F5"/>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paragraph" w:customStyle="1" w:styleId="38">
    <w:name w:val="正文首行缩进1"/>
    <w:basedOn w:val="2"/>
    <w:qFormat/>
    <w:uiPriority w:val="0"/>
    <w:pPr>
      <w:adjustRightInd w:val="0"/>
      <w:spacing w:line="360" w:lineRule="atLeast"/>
      <w:ind w:firstLine="420" w:firstLineChars="100"/>
      <w:jc w:val="left"/>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15477</Words>
  <Characters>16648</Characters>
  <Lines>127</Lines>
  <Paragraphs>35</Paragraphs>
  <TotalTime>4</TotalTime>
  <ScaleCrop>false</ScaleCrop>
  <LinksUpToDate>false</LinksUpToDate>
  <CharactersWithSpaces>17131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2022-11-21T07:56:30Z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E228C9FAD4514C9FBD60B28EA79ABF59</vt:lpwstr>
  </property>
</Properties>
</file>