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b/>
          <w:bCs/>
          <w:color w:val="FF0000"/>
          <w:sz w:val="44"/>
          <w:szCs w:val="44"/>
          <w:lang w:val="en-US"/>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7.19汽车起重机</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项目(二次)</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7</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19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3871"/>
      <w:bookmarkStart w:id="3" w:name="_Toc525632585"/>
      <w:bookmarkStart w:id="4" w:name="_Toc12765"/>
      <w:bookmarkStart w:id="5" w:name="_Toc10395_WPSOffice_Level2"/>
      <w:bookmarkStart w:id="6" w:name="_Toc24354_WPSOffice_Level2"/>
      <w:bookmarkStart w:id="7" w:name="_Toc6496_WPSOffice_Level2"/>
      <w:bookmarkStart w:id="8" w:name="_Toc4489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7.19汽车起重机</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项目（二次）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 xml:space="preserve">路面清障救援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8128_WPSOffice_Level2"/>
      <w:bookmarkStart w:id="10" w:name="_Toc525632586"/>
      <w:bookmarkStart w:id="11" w:name="_Toc18367_WPSOffice_Level2"/>
      <w:bookmarkStart w:id="12" w:name="_Toc10274"/>
      <w:bookmarkStart w:id="13" w:name="_Toc17858_WPSOffice_Level2"/>
      <w:bookmarkStart w:id="14" w:name="_Toc23266_WPSOffice_Level2"/>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55吨汽车起重机</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112</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pStyle w:val="34"/>
        <w:spacing w:before="143"/>
        <w:ind w:right="1430"/>
        <w:jc w:val="left"/>
        <w:rPr>
          <w:sz w:val="24"/>
          <w:lang w:val="en-US"/>
        </w:rPr>
      </w:pPr>
      <w:bookmarkStart w:id="19" w:name="_Toc1622_WPSOffice_Level2"/>
      <w:bookmarkStart w:id="20" w:name="_Toc31673_WPSOffice_Level2"/>
      <w:bookmarkStart w:id="21" w:name="_Toc29516_WPSOffice_Level2"/>
      <w:bookmarkStart w:id="22" w:name="_Toc6388"/>
      <w:bookmarkStart w:id="23" w:name="_Toc22379_WPSOffice_Level2"/>
      <w:bookmarkStart w:id="24" w:name="_Toc3714"/>
      <w:bookmarkStart w:id="25" w:name="_Toc525632587"/>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w:t>
      </w:r>
      <w:r>
        <w:rPr>
          <w:rFonts w:hint="eastAsia"/>
          <w:sz w:val="24"/>
          <w:highlight w:val="green"/>
          <w:lang w:eastAsia="zh-CN"/>
        </w:rPr>
        <w:t>，</w:t>
      </w:r>
      <w:r>
        <w:rPr>
          <w:rFonts w:hint="eastAsia"/>
          <w:sz w:val="24"/>
          <w:highlight w:val="green"/>
          <w:lang w:val="en-US" w:eastAsia="zh-CN"/>
        </w:rPr>
        <w:t>起重机械财产保险50万元，附加转运、移动期间财产损失保险50万元，附加吊臂断裂保险20万元，附加起重货物责任保险10万元，特种设备责任险150万元，附加作业人员人身伤亡责任险10万元。</w:t>
      </w:r>
      <w:r>
        <w:rPr>
          <w:rFonts w:hint="eastAsia"/>
          <w:sz w:val="24"/>
          <w:highlight w:val="green"/>
        </w:rPr>
        <w:t>上牌时,须按需方指定地点和方式执行,选择的牌号也须经需方认可。</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1</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1994"/>
      <w:bookmarkStart w:id="28" w:name="_Toc4751"/>
      <w:bookmarkStart w:id="29" w:name="_Toc25666_WPSOffice_Level2"/>
      <w:bookmarkStart w:id="30" w:name="_Toc29452_WPSOffice_Level2"/>
      <w:bookmarkStart w:id="31" w:name="_Toc2996_WPSOffice_Level2"/>
      <w:bookmarkStart w:id="32"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27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9 </w:t>
      </w:r>
      <w:r>
        <w:rPr>
          <w:rFonts w:ascii="Times New Roman" w:hAnsi="Times New Roman" w:cs="Times New Roman"/>
          <w:szCs w:val="22"/>
        </w:rPr>
        <w:t>时</w:t>
      </w:r>
      <w:r>
        <w:rPr>
          <w:rFonts w:hint="eastAsia" w:ascii="Times New Roman" w:hAnsi="Times New Roman" w:cs="Times New Roman"/>
          <w:szCs w:val="22"/>
          <w:u w:val="single"/>
          <w:lang w:val="en-US" w:eastAsia="zh-CN"/>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2"/>
        <w:ind w:firstLine="420" w:firstLineChars="200"/>
        <w:rPr>
          <w:rFonts w:hint="eastAsia" w:ascii="Times New Roman" w:hAnsi="Times New Roman"/>
          <w:highlight w:val="green"/>
          <w:lang w:val="en-US" w:eastAsia="zh-CN"/>
        </w:rPr>
      </w:pPr>
      <w:r>
        <w:rPr>
          <w:rFonts w:hint="eastAsia" w:ascii="Times New Roman" w:hAnsi="Times New Roman"/>
          <w:highlight w:val="green"/>
        </w:rPr>
        <w:t>本项目无响应保证金</w:t>
      </w:r>
      <w:r>
        <w:rPr>
          <w:rFonts w:hint="eastAsia" w:ascii="Times New Roman" w:hAnsi="Times New Roman"/>
          <w:highlight w:val="green"/>
          <w:lang w:eastAsia="zh-CN"/>
        </w:rPr>
        <w:t>，</w:t>
      </w:r>
      <w:r>
        <w:rPr>
          <w:rFonts w:hint="eastAsia" w:ascii="Times New Roman" w:hAnsi="Times New Roman"/>
          <w:highlight w:val="green"/>
          <w:lang w:val="en-US" w:eastAsia="zh-CN"/>
        </w:rPr>
        <w:t>需发响应报名表进行报名。</w:t>
      </w:r>
    </w:p>
    <w:p>
      <w:pPr>
        <w:snapToGrid w:val="0"/>
        <w:spacing w:line="560" w:lineRule="exact"/>
        <w:ind w:firstLine="420" w:firstLineChars="200"/>
        <w:rPr>
          <w:rFonts w:hint="default" w:ascii="Times New Roman" w:hAnsi="Times New Roman"/>
          <w:highlight w:val="green"/>
          <w:lang w:val="en-US" w:eastAsia="zh-CN"/>
        </w:rPr>
      </w:pPr>
      <w:r>
        <w:rPr>
          <w:rFonts w:hint="eastAsia" w:ascii="Times New Roman" w:hAnsi="Times New Roman"/>
          <w:highlight w:val="green"/>
        </w:rPr>
        <w:t>在202</w:t>
      </w:r>
      <w:r>
        <w:rPr>
          <w:rFonts w:hint="eastAsia" w:ascii="Times New Roman" w:hAnsi="Times New Roman"/>
          <w:highlight w:val="green"/>
          <w:lang w:val="en-US" w:eastAsia="zh-CN"/>
        </w:rPr>
        <w:t>3</w:t>
      </w:r>
      <w:r>
        <w:rPr>
          <w:rFonts w:hint="eastAsia" w:ascii="Times New Roman" w:hAnsi="Times New Roman"/>
          <w:highlight w:val="green"/>
        </w:rPr>
        <w:t xml:space="preserve">年 </w:t>
      </w:r>
      <w:r>
        <w:rPr>
          <w:rFonts w:hint="eastAsia" w:ascii="Times New Roman" w:hAnsi="Times New Roman"/>
          <w:highlight w:val="green"/>
          <w:lang w:val="en-US" w:eastAsia="zh-CN"/>
        </w:rPr>
        <w:t>7</w:t>
      </w:r>
      <w:r>
        <w:rPr>
          <w:rFonts w:hint="eastAsia" w:ascii="Times New Roman" w:hAnsi="Times New Roman"/>
          <w:highlight w:val="green"/>
        </w:rPr>
        <w:t>月</w:t>
      </w:r>
      <w:r>
        <w:rPr>
          <w:rFonts w:hint="eastAsia" w:ascii="Times New Roman" w:hAnsi="Times New Roman"/>
          <w:highlight w:val="green"/>
          <w:lang w:val="en-US" w:eastAsia="zh-CN"/>
        </w:rPr>
        <w:t>26</w:t>
      </w:r>
      <w:r>
        <w:rPr>
          <w:rFonts w:ascii="Times New Roman" w:hAnsi="Times New Roman"/>
          <w:highlight w:val="green"/>
        </w:rPr>
        <w:t xml:space="preserve"> </w:t>
      </w:r>
      <w:r>
        <w:rPr>
          <w:rFonts w:hint="eastAsia" w:ascii="Times New Roman" w:hAnsi="Times New Roman"/>
          <w:highlight w:val="green"/>
        </w:rPr>
        <w:t>日 1</w:t>
      </w:r>
      <w:r>
        <w:rPr>
          <w:rFonts w:hint="eastAsia" w:ascii="Times New Roman" w:hAnsi="Times New Roman"/>
          <w:highlight w:val="green"/>
          <w:lang w:val="en-US" w:eastAsia="zh-CN"/>
        </w:rPr>
        <w:t>5</w:t>
      </w:r>
      <w:r>
        <w:rPr>
          <w:rFonts w:hint="eastAsia" w:ascii="Times New Roman" w:hAnsi="Times New Roman"/>
          <w:highlight w:val="green"/>
        </w:rPr>
        <w:t xml:space="preserve"> ：00</w:t>
      </w:r>
      <w:r>
        <w:rPr>
          <w:rFonts w:hint="eastAsia" w:ascii="Times New Roman" w:hAnsi="Times New Roman"/>
          <w:highlight w:val="green"/>
          <w:lang w:val="en-US" w:eastAsia="zh-CN"/>
        </w:rPr>
        <w:t>前，将响应报名表发送至</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19"/>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Times New Roman" w:hAnsi="Times New Roman" w:cs="Times New Roman"/>
          <w:szCs w:val="22"/>
          <w:highlight w:val="green"/>
          <w:u w:val="none"/>
          <w:lang w:val="en-US" w:eastAsia="zh-CN"/>
        </w:rPr>
        <w:t>进行确认报名。</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20572_WPSOffice_Level2"/>
      <w:bookmarkStart w:id="39" w:name="_Toc525632592"/>
      <w:bookmarkStart w:id="40" w:name="_Toc8501"/>
      <w:bookmarkStart w:id="41" w:name="_Toc28571_WPSOffice_Level2"/>
      <w:bookmarkStart w:id="42" w:name="_Toc26829"/>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1"/>
        <w:jc w:val="right"/>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7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19  </w:t>
      </w:r>
      <w:r>
        <w:rPr>
          <w:rFonts w:hint="default" w:ascii="Times New Roman" w:hAnsi="Times New Roman"/>
          <w:color w:val="auto"/>
          <w:sz w:val="21"/>
          <w:szCs w:val="22"/>
        </w:rPr>
        <w:t>日</w:t>
      </w:r>
    </w:p>
    <w:p>
      <w:pPr>
        <w:pStyle w:val="2"/>
        <w:rPr>
          <w:rFonts w:hint="eastAsia"/>
        </w:rPr>
      </w:pPr>
    </w:p>
    <w:p>
      <w:pPr>
        <w:spacing w:line="360" w:lineRule="auto"/>
        <w:jc w:val="center"/>
        <w:rPr>
          <w:rFonts w:hint="eastAsia"/>
          <w:b/>
          <w:sz w:val="36"/>
          <w:szCs w:val="36"/>
        </w:rPr>
      </w:pPr>
      <w:r>
        <w:rPr>
          <w:rFonts w:hint="eastAsia"/>
          <w:b/>
          <w:sz w:val="36"/>
          <w:szCs w:val="36"/>
          <w:lang w:val="en-US" w:eastAsia="zh-CN"/>
        </w:rPr>
        <w:t xml:space="preserve">响 应 </w:t>
      </w:r>
      <w:r>
        <w:rPr>
          <w:rFonts w:hint="eastAsia"/>
          <w:b/>
          <w:sz w:val="36"/>
          <w:szCs w:val="36"/>
        </w:rPr>
        <w:t>报</w:t>
      </w:r>
      <w:r>
        <w:rPr>
          <w:rFonts w:hint="eastAsia"/>
          <w:b/>
          <w:sz w:val="36"/>
          <w:szCs w:val="36"/>
          <w:lang w:val="en-US" w:eastAsia="zh-CN"/>
        </w:rPr>
        <w:t xml:space="preserve"> </w:t>
      </w:r>
      <w:r>
        <w:rPr>
          <w:rFonts w:hint="eastAsia"/>
          <w:b/>
          <w:sz w:val="36"/>
          <w:szCs w:val="36"/>
        </w:rPr>
        <w:t>名</w:t>
      </w:r>
      <w:r>
        <w:rPr>
          <w:rFonts w:hint="eastAsia"/>
          <w:b/>
          <w:sz w:val="36"/>
          <w:szCs w:val="36"/>
          <w:lang w:val="en-US" w:eastAsia="zh-CN"/>
        </w:rPr>
        <w:t xml:space="preserve"> </w:t>
      </w:r>
      <w:r>
        <w:rPr>
          <w:rFonts w:hint="eastAsia"/>
          <w:b/>
          <w:sz w:val="36"/>
          <w:szCs w:val="36"/>
        </w:rPr>
        <w:t>表</w:t>
      </w:r>
    </w:p>
    <w:p>
      <w:pPr>
        <w:pStyle w:val="2"/>
      </w:pPr>
    </w:p>
    <w:p>
      <w:pPr>
        <w:spacing w:line="360" w:lineRule="auto"/>
        <w:jc w:val="center"/>
        <w:rPr>
          <w:sz w:val="24"/>
        </w:rPr>
      </w:pPr>
      <w:r>
        <w:rPr>
          <w:rFonts w:hint="eastAsia"/>
          <w:sz w:val="24"/>
        </w:rPr>
        <w:t>报名日期：</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日    </w:t>
      </w:r>
      <w:r>
        <w:rPr>
          <w:rFonts w:hint="eastAsia"/>
          <w:sz w:val="24"/>
          <w:lang w:val="en-US" w:eastAsia="zh-CN"/>
        </w:rPr>
        <w:t xml:space="preserve">       </w:t>
      </w:r>
      <w:r>
        <w:rPr>
          <w:rFonts w:hint="eastAsia"/>
          <w:sz w:val="24"/>
        </w:rPr>
        <w:t xml:space="preserve">   </w:t>
      </w:r>
      <w:r>
        <w:rPr>
          <w:rFonts w:hint="eastAsia" w:ascii="宋体" w:hAnsi="宋体"/>
          <w:sz w:val="24"/>
        </w:rPr>
        <w:t>评审时间</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w:t>
      </w:r>
    </w:p>
    <w:tbl>
      <w:tblPr>
        <w:tblStyle w:val="13"/>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项目名称</w:t>
            </w:r>
          </w:p>
        </w:tc>
        <w:tc>
          <w:tcPr>
            <w:tcW w:w="8259" w:type="dxa"/>
            <w:gridSpan w:val="3"/>
            <w:vAlign w:val="center"/>
          </w:tcPr>
          <w:p>
            <w:pPr>
              <w:snapToGrid w:val="0"/>
              <w:spacing w:line="3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供应商名称</w:t>
            </w:r>
          </w:p>
          <w:p>
            <w:pPr>
              <w:spacing w:line="360" w:lineRule="exact"/>
              <w:jc w:val="center"/>
              <w:rPr>
                <w:rFonts w:ascii="宋体" w:hAnsi="宋体" w:cs="宋体"/>
                <w:bCs/>
                <w:sz w:val="24"/>
              </w:rPr>
            </w:pPr>
            <w:r>
              <w:rPr>
                <w:rFonts w:hint="eastAsia" w:ascii="宋体" w:hAnsi="宋体" w:cs="宋体"/>
                <w:bCs/>
                <w:sz w:val="24"/>
              </w:rPr>
              <w:t>（与公章一致）</w:t>
            </w:r>
          </w:p>
        </w:tc>
        <w:tc>
          <w:tcPr>
            <w:tcW w:w="8259" w:type="dxa"/>
            <w:gridSpan w:val="3"/>
            <w:vAlign w:val="center"/>
          </w:tcPr>
          <w:p>
            <w:pPr>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供应商地址</w:t>
            </w:r>
          </w:p>
        </w:tc>
        <w:tc>
          <w:tcPr>
            <w:tcW w:w="8259" w:type="dxa"/>
            <w:gridSpan w:val="3"/>
            <w:vAlign w:val="center"/>
          </w:tcPr>
          <w:p>
            <w:pPr>
              <w:spacing w:line="3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法定代表人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联系电话</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投标负责人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投标负责人</w:t>
            </w:r>
          </w:p>
          <w:p>
            <w:pPr>
              <w:spacing w:line="360" w:lineRule="exact"/>
              <w:jc w:val="center"/>
              <w:rPr>
                <w:rFonts w:ascii="宋体" w:hAnsi="宋体" w:cs="宋体"/>
                <w:bCs/>
                <w:sz w:val="24"/>
              </w:rPr>
            </w:pPr>
            <w:r>
              <w:rPr>
                <w:rFonts w:hint="eastAsia" w:ascii="宋体" w:hAnsi="宋体" w:cs="宋体"/>
                <w:bCs/>
                <w:sz w:val="24"/>
              </w:rPr>
              <w:t>手机号</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电子邮箱</w:t>
            </w:r>
          </w:p>
        </w:tc>
        <w:tc>
          <w:tcPr>
            <w:tcW w:w="3396" w:type="dxa"/>
            <w:vAlign w:val="center"/>
          </w:tcPr>
          <w:p>
            <w:pPr>
              <w:spacing w:line="360" w:lineRule="exact"/>
              <w:rPr>
                <w:rFonts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公司传真</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是否符合本项目的资质要求</w:t>
            </w:r>
          </w:p>
          <w:p>
            <w:pPr>
              <w:spacing w:line="360" w:lineRule="exact"/>
              <w:rPr>
                <w:rFonts w:ascii="宋体" w:hAnsi="宋体" w:cs="宋体"/>
                <w:bCs/>
                <w:sz w:val="24"/>
              </w:rPr>
            </w:pPr>
            <w:r>
              <w:rPr>
                <w:rFonts w:hint="eastAsia" w:ascii="宋体" w:hAnsi="宋体" w:cs="宋体"/>
                <w:bCs/>
                <w:sz w:val="24"/>
              </w:rPr>
              <w:t>注：填写“是”或“否”。</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供应商参与包组情况</w:t>
            </w:r>
          </w:p>
          <w:p>
            <w:pPr>
              <w:spacing w:line="360" w:lineRule="exact"/>
              <w:rPr>
                <w:rFonts w:ascii="宋体" w:hAnsi="宋体" w:cs="宋体"/>
                <w:bCs/>
                <w:sz w:val="24"/>
              </w:rPr>
            </w:pPr>
            <w:r>
              <w:rPr>
                <w:rFonts w:hint="eastAsia" w:ascii="宋体" w:hAnsi="宋体" w:cs="宋体"/>
                <w:bCs/>
                <w:sz w:val="24"/>
              </w:rPr>
              <w:t>注：根据招标文件包号填写。</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cs="宋体"/>
                <w:bCs/>
                <w:sz w:val="24"/>
              </w:rPr>
            </w:pPr>
            <w:r>
              <w:rPr>
                <w:rFonts w:hint="eastAsia" w:ascii="宋体" w:hAnsi="宋体" w:cs="宋体"/>
                <w:bCs/>
                <w:sz w:val="24"/>
              </w:rPr>
              <w:t>备注</w:t>
            </w:r>
          </w:p>
        </w:tc>
        <w:tc>
          <w:tcPr>
            <w:tcW w:w="8867" w:type="dxa"/>
            <w:gridSpan w:val="4"/>
            <w:vAlign w:val="center"/>
          </w:tcPr>
          <w:p>
            <w:pPr>
              <w:spacing w:line="360" w:lineRule="exact"/>
              <w:jc w:val="left"/>
              <w:rPr>
                <w:rFonts w:ascii="宋体" w:hAnsi="宋体" w:cs="宋体"/>
                <w:bCs/>
                <w:sz w:val="24"/>
              </w:rPr>
            </w:pPr>
            <w:r>
              <w:rPr>
                <w:rFonts w:hint="eastAsia" w:ascii="宋体" w:hAnsi="宋体" w:cs="宋体"/>
                <w:bCs/>
                <w:sz w:val="24"/>
              </w:rPr>
              <w:t>1、所有获取文件的供应商，若有意参投本项目，须同时提供以下资料并发送至邮箱</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19"/>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宋体" w:hAnsi="宋体" w:cs="宋体"/>
                <w:bCs/>
                <w:sz w:val="24"/>
              </w:rPr>
              <w:t>：</w:t>
            </w:r>
          </w:p>
          <w:p>
            <w:pPr>
              <w:spacing w:line="360" w:lineRule="exact"/>
              <w:jc w:val="left"/>
              <w:rPr>
                <w:rFonts w:ascii="宋体" w:hAnsi="宋体" w:cs="宋体"/>
                <w:bCs/>
                <w:sz w:val="24"/>
              </w:rPr>
            </w:pPr>
            <w:r>
              <w:rPr>
                <w:rFonts w:hint="eastAsia" w:ascii="宋体" w:hAnsi="宋体" w:cs="宋体"/>
                <w:bCs/>
                <w:sz w:val="24"/>
              </w:rPr>
              <w:t>①已填写完整的《</w:t>
            </w:r>
            <w:r>
              <w:rPr>
                <w:rFonts w:hint="eastAsia" w:ascii="宋体" w:hAnsi="宋体" w:cs="宋体"/>
                <w:bCs/>
                <w:sz w:val="24"/>
                <w:lang w:val="en-US" w:eastAsia="zh-CN"/>
              </w:rPr>
              <w:t>响应</w:t>
            </w:r>
            <w:r>
              <w:rPr>
                <w:rFonts w:hint="eastAsia" w:ascii="宋体" w:hAnsi="宋体" w:cs="宋体"/>
                <w:bCs/>
                <w:sz w:val="24"/>
              </w:rPr>
              <w:t>报名表》；</w:t>
            </w:r>
          </w:p>
          <w:p>
            <w:pPr>
              <w:spacing w:line="360" w:lineRule="exact"/>
              <w:jc w:val="left"/>
              <w:rPr>
                <w:rFonts w:ascii="宋体" w:hAnsi="宋体" w:cs="宋体"/>
                <w:bCs/>
                <w:sz w:val="24"/>
              </w:rPr>
            </w:pPr>
            <w:r>
              <w:rPr>
                <w:rFonts w:hint="eastAsia" w:ascii="宋体" w:hAnsi="宋体" w:cs="宋体"/>
                <w:bCs/>
                <w:sz w:val="24"/>
              </w:rPr>
              <w:t>②营业执照复印件并加盖公章。</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报名单位须与投标单位名称一致，否则报名无效。</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报名单位须在</w:t>
            </w:r>
            <w:r>
              <w:rPr>
                <w:rFonts w:hint="eastAsia" w:ascii="宋体" w:hAnsi="宋体" w:cs="宋体"/>
                <w:bCs/>
                <w:sz w:val="24"/>
                <w:lang w:val="en-US" w:eastAsia="zh-CN"/>
              </w:rPr>
              <w:t>询比</w:t>
            </w:r>
            <w:bookmarkStart w:id="169" w:name="_GoBack"/>
            <w:bookmarkEnd w:id="169"/>
            <w:r>
              <w:rPr>
                <w:rFonts w:hint="eastAsia" w:ascii="宋体" w:hAnsi="宋体" w:cs="宋体"/>
                <w:bCs/>
                <w:sz w:val="24"/>
                <w:lang w:val="en-US" w:eastAsia="zh-CN"/>
              </w:rPr>
              <w:t>文件</w:t>
            </w:r>
            <w:r>
              <w:rPr>
                <w:rFonts w:hint="eastAsia" w:ascii="宋体" w:hAnsi="宋体" w:cs="宋体"/>
                <w:bCs/>
                <w:sz w:val="24"/>
              </w:rPr>
              <w:t>要求的报名截止时间前报名（以招标人收到邮件时间为准），否则报名无效。</w:t>
            </w:r>
          </w:p>
          <w:p>
            <w:pPr>
              <w:pStyle w:val="2"/>
            </w:pPr>
            <w:r>
              <w:rPr>
                <w:rFonts w:hint="eastAsia" w:ascii="宋体" w:hAnsi="宋体" w:cs="宋体"/>
                <w:bCs/>
                <w:sz w:val="24"/>
                <w:highlight w:val="green"/>
              </w:rPr>
              <w:t>4、报名人在提交响应报名表后</w:t>
            </w:r>
            <w:r>
              <w:rPr>
                <w:rFonts w:ascii="Times New Roman" w:hAnsi="Times New Roman" w:cs="Times New Roman"/>
                <w:sz w:val="24"/>
                <w:highlight w:val="green"/>
              </w:rPr>
              <w:t>响应文件递交的截止时间</w:t>
            </w:r>
            <w:r>
              <w:rPr>
                <w:rFonts w:hint="eastAsia" w:ascii="Times New Roman" w:hAnsi="Times New Roman" w:cs="Times New Roman"/>
                <w:sz w:val="24"/>
                <w:highlight w:val="green"/>
              </w:rPr>
              <w:t>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
      <w:pPr>
        <w:spacing w:line="400" w:lineRule="exact"/>
        <w:jc w:val="center"/>
        <w:rPr>
          <w:rFonts w:ascii="Times New Roman" w:hAnsi="Times New Roman" w:eastAsia="黑体" w:cs="Times New Roman"/>
          <w:sz w:val="28"/>
        </w:rPr>
      </w:pPr>
    </w:p>
    <w:p>
      <w:pPr>
        <w:spacing w:line="400" w:lineRule="exact"/>
        <w:jc w:val="center"/>
        <w:rPr>
          <w:rFonts w:ascii="Times New Roman" w:hAnsi="Times New Roman" w:eastAsia="黑体" w:cs="Times New Roman"/>
          <w:sz w:val="28"/>
        </w:rPr>
      </w:pPr>
    </w:p>
    <w:p>
      <w:pPr>
        <w:spacing w:line="560" w:lineRule="exact"/>
        <w:ind w:firstLine="480" w:firstLineChars="200"/>
      </w:pPr>
      <w:r>
        <w:rPr>
          <w:rFonts w:ascii="Times New Roman" w:hAnsi="Times New Roman" w:cs="Times New Roman"/>
          <w:color w:val="000000"/>
          <w:sz w:val="24"/>
          <w:szCs w:val="28"/>
        </w:rPr>
        <w:br w:type="page"/>
      </w:r>
    </w:p>
    <w:p>
      <w:pPr>
        <w:pStyle w:val="21"/>
        <w:jc w:val="both"/>
        <w:rPr>
          <w:rFonts w:hint="default" w:ascii="Times New Roman" w:hAnsi="Times New Roman"/>
          <w:color w:val="auto"/>
          <w:szCs w:val="28"/>
        </w:rPr>
      </w:pPr>
      <w:r>
        <w:rPr>
          <w:rFonts w:ascii="Times New Roman" w:hAnsi="Times New Roman"/>
          <w:color w:val="auto"/>
          <w:sz w:val="21"/>
          <w:szCs w:val="22"/>
        </w:rPr>
        <w:t xml:space="preserve">                                                       </w:t>
      </w:r>
    </w:p>
    <w:p>
      <w:pPr>
        <w:rPr>
          <w:rFonts w:ascii="Times New Roman" w:hAnsi="Times New Roman" w:cs="Times New Roman"/>
          <w:sz w:val="24"/>
          <w:szCs w:val="28"/>
        </w:rPr>
      </w:pP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的正本与副本应分别</w:t>
      </w:r>
      <w:r>
        <w:rPr>
          <w:rFonts w:hint="eastAsia" w:ascii="Times New Roman" w:hAnsi="Times New Roman" w:eastAsia="宋体" w:cs="Times New Roman"/>
          <w:highlight w:val="green"/>
          <w:lang w:val="en-US" w:eastAsia="zh-CN"/>
        </w:rPr>
        <w:t>胶状密封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报价文件中提供</w:t>
            </w:r>
            <w:r>
              <w:rPr>
                <w:rFonts w:hint="eastAsia"/>
                <w:lang w:val="en-US" w:eastAsia="zh-CN"/>
              </w:rPr>
              <w:t>的</w:t>
            </w:r>
            <w:r>
              <w:rPr>
                <w:rFonts w:hint="eastAsia"/>
              </w:rPr>
              <w:t>技术参数均满足询价文件要求的，得基本分</w:t>
            </w:r>
            <w:r>
              <w:rPr>
                <w:rFonts w:hint="eastAsia"/>
                <w:lang w:val="en-US" w:eastAsia="zh-CN"/>
              </w:rPr>
              <w:t>10</w:t>
            </w:r>
            <w:r>
              <w:rPr>
                <w:rFonts w:hint="eastAsia"/>
              </w:rPr>
              <w:t>分；在此基础上：</w:t>
            </w:r>
          </w:p>
          <w:p>
            <w:pPr>
              <w:pStyle w:val="2"/>
            </w:pPr>
            <w:r>
              <w:rPr>
                <w:rFonts w:hint="eastAsia"/>
              </w:rPr>
              <w:t>技术参数优于询</w:t>
            </w:r>
            <w:r>
              <w:rPr>
                <w:rFonts w:hint="eastAsia"/>
                <w:lang w:val="en-US" w:eastAsia="zh-CN"/>
              </w:rPr>
              <w:t>比</w:t>
            </w:r>
            <w:r>
              <w:rPr>
                <w:rFonts w:hint="eastAsia"/>
              </w:rPr>
              <w:t>文件要求的，每</w:t>
            </w:r>
            <w:r>
              <w:rPr>
                <w:rFonts w:hint="eastAsia"/>
                <w:lang w:val="en-US" w:eastAsia="zh-CN"/>
              </w:rPr>
              <w:t>项</w:t>
            </w:r>
            <w:r>
              <w:rPr>
                <w:rFonts w:hint="eastAsia"/>
              </w:rPr>
              <w:t>加</w:t>
            </w:r>
            <w:r>
              <w:rPr>
                <w:rFonts w:hint="eastAsia"/>
                <w:lang w:val="en-US" w:eastAsia="zh-CN"/>
              </w:rPr>
              <w:t>1</w:t>
            </w:r>
            <w:r>
              <w:rPr>
                <w:rFonts w:hint="eastAsia"/>
              </w:rPr>
              <w:t>分，本项最多加</w:t>
            </w:r>
            <w:r>
              <w:rPr>
                <w:rFonts w:hint="eastAsia"/>
                <w:lang w:val="en-US" w:eastAsia="zh-CN"/>
              </w:rPr>
              <w:t>14</w:t>
            </w:r>
            <w:r>
              <w:rPr>
                <w:rFonts w:hint="eastAsia"/>
              </w:rPr>
              <w:t>分</w:t>
            </w:r>
            <w:r>
              <w:rPr>
                <w:rFonts w:hint="eastAsia"/>
                <w:lang w:eastAsia="zh-CN"/>
              </w:rPr>
              <w:t>，</w:t>
            </w:r>
            <w:r>
              <w:rPr>
                <w:rFonts w:hint="eastAsia"/>
              </w:rPr>
              <w:t>技术参数低于询</w:t>
            </w:r>
            <w:r>
              <w:rPr>
                <w:rFonts w:hint="eastAsia"/>
                <w:lang w:val="en-US" w:eastAsia="zh-CN"/>
              </w:rPr>
              <w:t>比</w:t>
            </w:r>
            <w:r>
              <w:rPr>
                <w:rFonts w:hint="eastAsia"/>
              </w:rPr>
              <w:t>文件要求的</w:t>
            </w:r>
            <w:r>
              <w:rPr>
                <w:rFonts w:hint="eastAsia"/>
                <w:lang w:eastAsia="zh-CN"/>
              </w:rPr>
              <w:t>（</w:t>
            </w:r>
            <w:r>
              <w:rPr>
                <w:rFonts w:hint="eastAsia"/>
                <w:lang w:val="en-US" w:eastAsia="zh-CN"/>
              </w:rPr>
              <w:t>基本分得0分</w:t>
            </w:r>
            <w:r>
              <w:rPr>
                <w:rFonts w:hint="eastAsia"/>
                <w:lang w:eastAsia="zh-CN"/>
              </w:rPr>
              <w:t>）</w:t>
            </w:r>
            <w:r>
              <w:rPr>
                <w:rFonts w:hint="eastAsia"/>
              </w:rPr>
              <w:t>，每项扣2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bidi w:val="0"/>
              <w:jc w:val="both"/>
              <w:rPr>
                <w:rFonts w:hint="eastAsia"/>
                <w:lang w:val="en-US" w:eastAsia="zh-CN"/>
              </w:rPr>
            </w:pPr>
            <w:r>
              <w:rPr>
                <w:rFonts w:hint="eastAsia"/>
                <w:lang w:val="en-US" w:eastAsia="zh-CN"/>
              </w:rPr>
              <w:t>满足资格业绩要求，得基本分1分</w:t>
            </w:r>
          </w:p>
          <w:p>
            <w:pPr>
              <w:pStyle w:val="2"/>
              <w:bidi w:val="0"/>
              <w:jc w:val="both"/>
              <w:rPr>
                <w:rFonts w:hint="eastAsia"/>
                <w:lang w:val="en-US" w:eastAsia="zh-CN"/>
              </w:rPr>
            </w:pPr>
            <w:r>
              <w:rPr>
                <w:rFonts w:hint="eastAsia"/>
                <w:lang w:val="en-US" w:eastAsia="zh-CN"/>
              </w:rPr>
              <w:t>除资格业绩外，投标人自2020年6月1日（以合同签订时间为准）至今，每提供一份同类产品供货业绩，加0.2分，最多加3分</w:t>
            </w:r>
          </w:p>
          <w:p>
            <w:pPr>
              <w:pStyle w:val="2"/>
              <w:bidi w:val="0"/>
              <w:jc w:val="both"/>
            </w:pPr>
            <w:r>
              <w:rPr>
                <w:rFonts w:hint="eastAsia"/>
                <w:lang w:val="en-US" w:eastAsia="zh-CN"/>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numPr>
                <w:ilvl w:val="0"/>
                <w:numId w:val="0"/>
              </w:numPr>
              <w:adjustRightInd w:val="0"/>
              <w:snapToGrid w:val="0"/>
              <w:spacing w:line="276" w:lineRule="auto"/>
              <w:rPr>
                <w:rFonts w:hint="eastAsia" w:ascii="Times New Roman" w:hAnsi="Times New Roman" w:eastAsia="宋体" w:cs="Times New Roman"/>
                <w:szCs w:val="21"/>
                <w:lang w:val="en-US" w:eastAsia="zh-CN"/>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缺一项扣1分，扣完为止</w:t>
            </w:r>
          </w:p>
          <w:p>
            <w:pPr>
              <w:numPr>
                <w:ilvl w:val="0"/>
                <w:numId w:val="0"/>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乙方需全额退还货款且承担相应损失。</w:t>
      </w:r>
    </w:p>
    <w:p>
      <w:pPr>
        <w:spacing w:line="360" w:lineRule="auto"/>
        <w:ind w:firstLine="420" w:firstLineChars="200"/>
        <w:rPr>
          <w:rFonts w:hint="default" w:ascii="Times New Roman" w:hAnsi="Times New Roman" w:cs="Times New Roman" w:eastAsiaTheme="minorEastAsia"/>
          <w:szCs w:val="21"/>
          <w:lang w:val="en-US"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3"/>
        <w:gridCol w:w="6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汽车起重机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发动机</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both"/>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列六缸水冷电控柴油发动机，采用国内知名品牌（如潍柴、玉柴、康明斯等同规格）；额定功率247kW/1900rpm，最大扭矩：1600Nm/1000~1400rpm，国六排放标准；最大基准扭矩：1745N.m；燃油箱容积：350L；尿素箱容积：35L</w:t>
            </w:r>
          </w:p>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pStyle w:val="2"/>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盘</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pStyle w:val="2"/>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五岳、解放、沃尔沃、东风、北方奔驰</w:t>
            </w:r>
            <w:r>
              <w:rPr>
                <w:rFonts w:hint="eastAsia" w:ascii="宋体" w:hAnsi="宋体" w:cs="宋体"/>
                <w:i w:val="0"/>
                <w:iCs w:val="0"/>
                <w:color w:val="000000"/>
                <w:kern w:val="0"/>
                <w:sz w:val="20"/>
                <w:szCs w:val="20"/>
                <w:u w:val="none"/>
                <w:lang w:val="en-US" w:eastAsia="zh-CN" w:bidi="ar"/>
              </w:rPr>
              <w:t>或者同规格底盘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最大额定总起重量</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≥55吨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最小额定工作幅度</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最大起重力矩：</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基本臂不低于2279KN.m;最长主臂不低于1509KN.m；最长主臂+副臂不低于978KN.m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起升高度：</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基本臂不低于13m；最长主臂不低于48.3m;最长主臂+副臂不低于64.3m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起重臂长度：</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基本臂不低于12.3m;最长主臂不低于48m;最长主臂+副臂不低于64m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支腿跨距：</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纵向不低于6.3m;横向不低于7.9m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变速箱</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陕齿机械式变速箱，潍柴国六配置:9个前进档，  1个倒档，带同步器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车桥</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高强度车桥，1、2桥转向，3、4桥驱动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轮胎</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12个轮胎， 1个备胎，1、2桥均装单胎， 3、 4桥均装双胎。轮胎规格325/95R24;12.00R24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制动系统</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行车制动：双回路气压制动，作用于所有车轮。驻车制动：弹簧贮能制动，作用于3、4轴车轮。辅助制动：发动机排气制动和缸内缓速制动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转台尾部回转半经</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平衡重处4115</w:t>
            </w:r>
            <w:r>
              <w:rPr>
                <w:rFonts w:hint="eastAsia" w:ascii="宋体" w:hAnsi="宋体" w:cs="宋体"/>
                <w:i w:val="0"/>
                <w:iCs w:val="0"/>
                <w:color w:val="000000"/>
                <w:kern w:val="0"/>
                <w:sz w:val="20"/>
                <w:szCs w:val="20"/>
                <w:u w:val="none"/>
                <w:lang w:val="en-US" w:eastAsia="zh-CN" w:bidi="ar"/>
              </w:rPr>
              <w:t>mm;副卷处4180mm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最大允许总质量</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微软雅黑" w:cs="宋体"/>
                <w:i w:val="0"/>
                <w:iCs w:val="0"/>
                <w:color w:val="000000"/>
                <w:kern w:val="0"/>
                <w:sz w:val="20"/>
                <w:szCs w:val="20"/>
                <w:u w:val="none"/>
                <w:lang w:val="en-US" w:eastAsia="zh-CN" w:bidi="ar"/>
              </w:rPr>
            </w:pPr>
            <w:r>
              <w:rPr>
                <w:rFonts w:hint="eastAsia" w:ascii="宋体" w:hAnsi="宋体" w:eastAsia="宋体" w:cs="宋体"/>
                <w:spacing w:val="8"/>
                <w:sz w:val="20"/>
                <w:szCs w:val="20"/>
              </w:rPr>
              <w:t>接近角</w:t>
            </w:r>
            <w:r>
              <w:rPr>
                <w:rFonts w:hint="eastAsia" w:ascii="宋体" w:hAnsi="宋体" w:eastAsia="宋体" w:cs="宋体"/>
                <w:spacing w:val="8"/>
                <w:sz w:val="20"/>
                <w:szCs w:val="20"/>
                <w:lang w:val="en-US" w:eastAsia="zh-CN"/>
              </w:rPr>
              <w:t>/离去角</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pacing w:val="8"/>
                <w:sz w:val="20"/>
                <w:szCs w:val="20"/>
              </w:rPr>
            </w:pPr>
            <w:r>
              <w:rPr>
                <w:rFonts w:hint="eastAsia" w:ascii="宋体" w:hAnsi="宋体" w:eastAsia="宋体" w:cs="宋体"/>
                <w:spacing w:val="8"/>
                <w:sz w:val="20"/>
                <w:szCs w:val="20"/>
              </w:rPr>
              <w:t>工作速度</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起重臂起臂时间≤52S；起重臂全伸时间≤112S；最大回转速度≥1.5r/min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pacing w:val="8"/>
                <w:sz w:val="20"/>
                <w:szCs w:val="20"/>
              </w:rPr>
            </w:pPr>
            <w:r>
              <w:rPr>
                <w:rFonts w:hint="eastAsia" w:ascii="宋体" w:hAnsi="宋体" w:eastAsia="宋体" w:cs="宋体"/>
                <w:spacing w:val="8"/>
                <w:sz w:val="20"/>
                <w:szCs w:val="20"/>
              </w:rPr>
              <w:t>最大爬坡能力</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驾驶室</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置大视野的前挡风安全玻璃，电动雨刮器电动玻璃升降器，带有冷暖空调，可实现吹面吹脚，除霜、除雾功能，带有收放机等。主驾采用机械减震式座椅，副驾采用双人座椅可展开为简易卧铺，满足人员的操纵舒适性及乘坐方便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支腿</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4支腿 ，H形布置 ，水平伸缩和垂直伸缩由液压控制 ，底盘两侧装有支腿操纵机构，水平仪、照明灯和调速按钮，支腿油缸均设有单向阀 ， 垂直支腿带有双向液压锁。支脚盘尺寸：435×435mm，最大起重量时支腿反力：576KN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液压系统</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液压泵：底盘发动机驱动四联泵，定量泵用于起升、变幅、伸缩。控制阀：先导液压油控制的负荷敏感式比例多 路换向阀，带有抗冲击阀、防气蚀阀。油路：风冷式液压油冷却器，有效降低系统油温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操纵方式</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无级调速，先导液比例操纵，由左右2个操纵手柄控制。由液压泵和比例阀进行液压先导式控制起重机的全部动作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起升机构</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单排四点接触球外齿式回转支承，由液压马达驱动行星齿轮回转机构减速器驱动，可连续回转360。具有动力控制或自由滑转的功能，可无级调速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相关辅件</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1.起重用高强度钢丝绳φ24毫米10米4根、φ22毫米10米4根、φ20毫米10米4根、φ16毫米10米4根、φ12毫米8米4根；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2.柔性吊装带10吨10米4根、20吨10米4根、30吨10米4根；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3.卸扣25吨4个、15吨4个8吨4个；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4.专用吊环10吨2个，20吨2个；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5.支腿枕木10块；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6.300W警报器一套、圆形爆闪警示灯具4套；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质保期</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2年</w:t>
            </w:r>
          </w:p>
        </w:tc>
      </w:tr>
    </w:tbl>
    <w:p>
      <w:pPr>
        <w:rPr>
          <w:rFonts w:ascii="Times New Roman" w:hAnsi="Times New Roman" w:eastAsia="宋体" w:cs="Times New Roman"/>
        </w:rPr>
      </w:pPr>
    </w:p>
    <w:p>
      <w:pPr>
        <w:pStyle w:val="2"/>
        <w:rPr>
          <w:rFonts w:hint="eastAsia" w:ascii="宋体" w:hAnsi="宋体" w:eastAsia="宋体" w:cs="宋体"/>
          <w:kern w:val="2"/>
          <w:sz w:val="21"/>
          <w:szCs w:val="24"/>
          <w:highlight w:val="green"/>
          <w:lang w:val="en-US" w:eastAsia="zh-CN" w:bidi="ar-SA"/>
        </w:rPr>
      </w:pPr>
      <w:r>
        <w:rPr>
          <w:rFonts w:hint="eastAsia" w:ascii="宋体" w:hAnsi="宋体" w:eastAsia="宋体" w:cs="宋体"/>
          <w:kern w:val="2"/>
          <w:sz w:val="21"/>
          <w:szCs w:val="24"/>
          <w:highlight w:val="green"/>
          <w:lang w:val="en-US" w:eastAsia="zh-CN" w:bidi="ar-SA"/>
        </w:rPr>
        <w:t>采购人后期有权要求响应人提供所投产品印证资料原件进行审核，如虚假响应，按废标处理。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5299"/>
      <w:bookmarkStart w:id="82" w:name="_Toc28261"/>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ascii="Times New Roman" w:hAnsi="Times New Roman" w:eastAsia="宋体" w:cs="Times New Roman"/>
          <w:b/>
          <w:bCs/>
          <w:sz w:val="36"/>
          <w:szCs w:val="36"/>
        </w:rPr>
      </w:pPr>
      <w:r>
        <w:rPr>
          <w:rFonts w:hint="eastAsia" w:ascii="宋体" w:hAnsi="宋体" w:eastAsia="宋体" w:cs="宋体"/>
          <w:bCs/>
          <w:sz w:val="21"/>
          <w:szCs w:val="21"/>
        </w:rPr>
        <w:t>5.6售后服务：完善售后服务计划，每年不少于两次质量回访，提供维护保养巡检报告。给予终身技术指导。</w:t>
      </w:r>
      <w:bookmarkStart w:id="85" w:name="_Toc9834_WPSOffice_Level1"/>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914_WPSOffice_Level1"/>
      <w:bookmarkStart w:id="87" w:name="_Toc5145_WPSOffice_Level1"/>
      <w:bookmarkStart w:id="88" w:name="_Toc17394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23368_WPSOffice_Level1"/>
      <w:bookmarkStart w:id="97" w:name="_Toc11424_WPSOffice_Level1"/>
      <w:bookmarkStart w:id="98" w:name="_Toc30529_WPSOffice_Level1"/>
      <w:bookmarkStart w:id="99" w:name="_Toc6353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31927_WPSOffice_Level1"/>
      <w:bookmarkStart w:id="104" w:name="_Toc212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3356_WPSOffice_Level1"/>
      <w:bookmarkStart w:id="106" w:name="_Toc4728_WPSOffice_Level1"/>
      <w:bookmarkStart w:id="107" w:name="_Toc29085_WPSOffice_Level1"/>
      <w:bookmarkStart w:id="108"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23744_WPSOffice_Level1"/>
      <w:bookmarkStart w:id="110" w:name="_Toc18964_WPSOffice_Level1"/>
      <w:bookmarkStart w:id="111" w:name="_Toc7453_WPSOffice_Level1"/>
      <w:bookmarkStart w:id="112"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1578_WPSOffice_Level1"/>
      <w:bookmarkStart w:id="114" w:name="_Toc23751_WPSOffice_Level1"/>
      <w:bookmarkStart w:id="115" w:name="_Toc19601_WPSOffice_Level1"/>
      <w:bookmarkStart w:id="116" w:name="_Toc9006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27403_WPSOffice_Level1"/>
      <w:bookmarkStart w:id="124" w:name="_Toc25804_WPSOffice_Level1"/>
      <w:bookmarkStart w:id="125" w:name="_Toc30273_WPSOffice_Level1"/>
      <w:bookmarkStart w:id="126" w:name="_Toc32648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30234_WPSOffice_Level1"/>
      <w:bookmarkStart w:id="129" w:name="_Toc4051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30031_WPSOffice_Level1"/>
      <w:bookmarkStart w:id="134" w:name="_Toc2765_WPSOffice_Level1"/>
      <w:bookmarkStart w:id="135" w:name="_Toc18312_WPSOffice_Level1"/>
      <w:bookmarkStart w:id="136" w:name="_Toc1687_WPSOffice_Level1"/>
      <w:bookmarkStart w:id="137" w:name="_Toc29399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8668_WPSOffice_Level1"/>
      <w:bookmarkStart w:id="139" w:name="_Toc12530_WPSOffice_Level1"/>
      <w:bookmarkStart w:id="140" w:name="_Toc32350_WPSOffice_Level1"/>
      <w:bookmarkStart w:id="141" w:name="_Toc8695_WPSOffice_Level1"/>
      <w:bookmarkStart w:id="142" w:name="_Toc14563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9768_WPSOffice_Level2"/>
      <w:bookmarkStart w:id="14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30_WPSOffice_Level1"/>
      <w:bookmarkStart w:id="148" w:name="_Toc15186_WPSOffice_Level1"/>
      <w:bookmarkStart w:id="149" w:name="_Toc32085_WPSOffice_Level1"/>
      <w:bookmarkStart w:id="150" w:name="_Toc24567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7738_WPSOffice_Level1"/>
      <w:bookmarkStart w:id="153" w:name="_Toc31445_WPSOffice_Level1"/>
      <w:bookmarkStart w:id="154" w:name="_Toc22815_WPSOffice_Level1"/>
      <w:bookmarkStart w:id="155" w:name="_Toc23545_WPSOffice_Level1"/>
      <w:bookmarkStart w:id="156"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7600_WPSOffice_Level2"/>
      <w:bookmarkStart w:id="158" w:name="_Toc2807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9004_WPSOffice_Level1"/>
      <w:bookmarkStart w:id="160" w:name="_Toc1452_WPSOffice_Level1"/>
      <w:bookmarkStart w:id="161" w:name="_Toc3772_WPSOffice_Level1"/>
      <w:bookmarkStart w:id="162" w:name="_Toc5072_WPSOffice_Level1"/>
      <w:bookmarkStart w:id="163"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30712_WPSOffice_Level1"/>
      <w:bookmarkStart w:id="166" w:name="_Toc9267_WPSOffice_Level1"/>
      <w:bookmarkStart w:id="167" w:name="_Toc3893_WPSOffice_Level1"/>
      <w:bookmarkStart w:id="168"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C757B"/>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2950E4"/>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32592"/>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9FD52E4"/>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73761"/>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4D44D7"/>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3C0460"/>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2D27FD"/>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66D5C"/>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3E15EC"/>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BF453A"/>
    <w:rsid w:val="1FC653B9"/>
    <w:rsid w:val="1FC830F6"/>
    <w:rsid w:val="1FE50EDC"/>
    <w:rsid w:val="1FFD5491"/>
    <w:rsid w:val="1FFF49B3"/>
    <w:rsid w:val="20085EE1"/>
    <w:rsid w:val="200A49DA"/>
    <w:rsid w:val="2010615E"/>
    <w:rsid w:val="202D6C3B"/>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203563"/>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1F0B01"/>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5219B"/>
    <w:rsid w:val="34CD11F9"/>
    <w:rsid w:val="34CF5AFD"/>
    <w:rsid w:val="34DE44D8"/>
    <w:rsid w:val="34DF0FFB"/>
    <w:rsid w:val="34FD6977"/>
    <w:rsid w:val="35091493"/>
    <w:rsid w:val="35131187"/>
    <w:rsid w:val="351849C1"/>
    <w:rsid w:val="35664635"/>
    <w:rsid w:val="35764CC9"/>
    <w:rsid w:val="357F680D"/>
    <w:rsid w:val="35903ACA"/>
    <w:rsid w:val="35A9536A"/>
    <w:rsid w:val="35AC6226"/>
    <w:rsid w:val="35BF7FD5"/>
    <w:rsid w:val="35C10BB4"/>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7F32C4"/>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EE2FBC"/>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91410"/>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12047"/>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1E694E"/>
    <w:rsid w:val="5039019E"/>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3B13C3"/>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87546"/>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3D43FE"/>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C448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4F4CCE"/>
    <w:rsid w:val="625B5CA9"/>
    <w:rsid w:val="62756CE9"/>
    <w:rsid w:val="6276661E"/>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7C0775"/>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9C6138"/>
    <w:rsid w:val="75C04FAC"/>
    <w:rsid w:val="75C24137"/>
    <w:rsid w:val="75D03F20"/>
    <w:rsid w:val="75E623C5"/>
    <w:rsid w:val="75F83F2A"/>
    <w:rsid w:val="761335AB"/>
    <w:rsid w:val="76373B59"/>
    <w:rsid w:val="764C17F9"/>
    <w:rsid w:val="765B6B67"/>
    <w:rsid w:val="765E41A2"/>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3D7DCB"/>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14937</Words>
  <Characters>16123</Characters>
  <Lines>166</Lines>
  <Paragraphs>46</Paragraphs>
  <TotalTime>0</TotalTime>
  <ScaleCrop>false</ScaleCrop>
  <LinksUpToDate>false</LinksUpToDate>
  <CharactersWithSpaces>16633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2023-07-20T07:43:31Z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E228C9FAD4514C9FBD60B28EA79ABF59</vt:lpwstr>
  </property>
</Properties>
</file>